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20.12.2021 N 1954</w:t>
              <w:br/>
              <w:t xml:space="preserve">(ред. от 14.07.2023)</w:t>
              <w:br/>
              <w:t xml:space="preserve">"Об утверждении административного регламента по предоставлению муниципальной услуги по 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о внесении изменения в постановление Администрации города Вологды от 30 декабря 2016 года N 1617"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декабря 2021 г. N 1954</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ПРЕКРАЩЕНИЮ ПРАВА</w:t>
      </w:r>
    </w:p>
    <w:p>
      <w:pPr>
        <w:pStyle w:val="2"/>
        <w:jc w:val="center"/>
      </w:pPr>
      <w:r>
        <w:rPr>
          <w:sz w:val="20"/>
        </w:rPr>
        <w:t xml:space="preserve">ПОСТОЯННОГО (БЕССРОЧНОГО) ПОЛЬЗОВАНИЯ И ПОЖИЗНЕННОГО</w:t>
      </w:r>
    </w:p>
    <w:p>
      <w:pPr>
        <w:pStyle w:val="2"/>
        <w:jc w:val="center"/>
      </w:pPr>
      <w:r>
        <w:rPr>
          <w:sz w:val="20"/>
        </w:rPr>
        <w:t xml:space="preserve">НАСЛЕДУЕМОГО ВЛАДЕНИЯ ЗЕМЕЛЬНЫМ УЧАСТКОМ ПРИ ОТКАЗЕ</w:t>
      </w:r>
    </w:p>
    <w:p>
      <w:pPr>
        <w:pStyle w:val="2"/>
        <w:jc w:val="center"/>
      </w:pPr>
      <w:r>
        <w:rPr>
          <w:sz w:val="20"/>
        </w:rPr>
        <w:t xml:space="preserve">ЗЕМЛЕПОЛЬЗОВАТЕЛЯ, ЗЕМЛЕВЛАДЕЛЬЦА ОТ ПРИНАДЛЕЖАЩЕГО ИМ ПРАВА</w:t>
      </w:r>
    </w:p>
    <w:p>
      <w:pPr>
        <w:pStyle w:val="2"/>
        <w:jc w:val="center"/>
      </w:pPr>
      <w:r>
        <w:rPr>
          <w:sz w:val="20"/>
        </w:rPr>
        <w:t xml:space="preserve">НА ЗЕМЕЛЬНЫЙ УЧАСТОК И О ВНЕСЕНИИ ИЗМЕНЕНИЯ В ПОСТАНОВЛЕНИЕ</w:t>
      </w:r>
    </w:p>
    <w:p>
      <w:pPr>
        <w:pStyle w:val="2"/>
        <w:jc w:val="center"/>
      </w:pPr>
      <w:r>
        <w:rPr>
          <w:sz w:val="20"/>
        </w:rPr>
        <w:t xml:space="preserve">АДМИНИСТРАЦИИ ГОРОДА ВОЛОГДЫ ОТ 30 ДЕКАБРЯ 2016 ГОДА N 1617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14.02.2023 </w:t>
            </w:r>
            <w:hyperlink w:history="0" r:id="rId7"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 от 14.07.2023 </w:t>
            </w:r>
            <w:hyperlink w:history="0" r:id="rId8"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со </w:t>
      </w:r>
      <w:hyperlink w:history="0" r:id="rId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статьями 11</w:t>
        </w:r>
      </w:hyperlink>
      <w:r>
        <w:rPr>
          <w:sz w:val="20"/>
        </w:rPr>
        <w:t xml:space="preserve">, </w:t>
      </w:r>
      <w:hyperlink w:history="0" r:id="rId1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45</w:t>
        </w:r>
      </w:hyperlink>
      <w:r>
        <w:rPr>
          <w:sz w:val="20"/>
        </w:rPr>
        <w:t xml:space="preserve">, </w:t>
      </w:r>
      <w:hyperlink w:history="0" r:id="rId1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53</w:t>
        </w:r>
      </w:hyperlink>
      <w:r>
        <w:rPr>
          <w:sz w:val="20"/>
        </w:rPr>
        <w:t xml:space="preserve"> Земельного кодекса Российской Федерации, Федеральным </w:t>
      </w:r>
      <w:hyperlink w:history="0" r:id="rId1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13" w:tooltip="Решение Вологодской городской Думы от 06.05.2010 N 342 (ред. от 23.03.2023) &quot;О реализации права на участие в осуществлении государственных полномочий в отношении земельных участков, расположенных на территории городского округа города Вологды&quot; (принято Вологодской городской Думой 29.04.2010) {КонсультантПлюс}">
        <w:r>
          <w:rPr>
            <w:sz w:val="20"/>
            <w:color w:val="0000ff"/>
          </w:rPr>
          <w:t xml:space="preserve">решением</w:t>
        </w:r>
      </w:hyperlink>
      <w:r>
        <w:rPr>
          <w:sz w:val="20"/>
        </w:rPr>
        <w:t xml:space="preserve"> Вологодской городской Думы от 6 мая 2010 года N 342 "О реализации права на участие в осуществлении государственных полномочий в отношении земельных участков, расположенных на территории городского округа города Вологды" (с последующими изменениями), </w:t>
      </w:r>
      <w:hyperlink w:history="0" r:id="rId14" w:tooltip="Решение Вологодской городской Думы от 19.02.2015 N 203 (ред. от 23.03.2023) &quot;Об управлении и распоряжении земельными участками, находящимися в собственности городского округа города Вологды&quot; (принято Вологодской городской Думой 19.02.2015) {КонсультантПлюс}">
        <w:r>
          <w:rPr>
            <w:sz w:val="20"/>
            <w:color w:val="0000ff"/>
          </w:rPr>
          <w:t xml:space="preserve">решением</w:t>
        </w:r>
      </w:hyperlink>
      <w:r>
        <w:rPr>
          <w:sz w:val="20"/>
        </w:rPr>
        <w:t xml:space="preserve"> Вологодской городской Думы от 19 февраля 2015 года N 203 "Об управлении и распоряжении земельными участками, находящимися в собственности городского округа города Вологды" (с последующими изменениями), </w:t>
      </w:r>
      <w:hyperlink w:history="0" r:id="rId15"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на основании </w:t>
      </w:r>
      <w:hyperlink w:history="0" r:id="rId16"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7"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spacing w:before="200" w:line-rule="auto"/>
        <w:ind w:firstLine="540"/>
        <w:jc w:val="both"/>
      </w:pPr>
      <w:r>
        <w:rPr>
          <w:sz w:val="20"/>
        </w:rPr>
        <w:t xml:space="preserve">1. Утвердить прилагаемый административный </w:t>
      </w:r>
      <w:hyperlink w:history="0" w:anchor="P48"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оценки профессиональной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по 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3. Внести изменение в </w:t>
      </w:r>
      <w:hyperlink w:history="0" r:id="rId18" w:tooltip="Постановление Администрации г. Вологды от 30.12.2016 N 1617 (ред. от 16.12.2021) &quot;Об утверждении Перечня муниципальных услуг городского округа города Вологды&quot; ------------ Недействующая редакция {КонсультантПлюс}">
        <w:r>
          <w:rPr>
            <w:sz w:val="20"/>
            <w:color w:val="0000ff"/>
          </w:rPr>
          <w:t xml:space="preserve">пункт 2</w:t>
        </w:r>
      </w:hyperlink>
      <w:r>
        <w:rPr>
          <w:sz w:val="20"/>
        </w:rPr>
        <w:t xml:space="preserve"> Перечня муниципальных услуг городского округа города Вологды, утвержденного постановлением Администрации города Вологды от 30 декабря 2016 года N 1617 (с последующими изменениями), дополнив строкой 25 следующего содержания:</w:t>
      </w:r>
    </w:p>
    <w:p>
      <w:pPr>
        <w:pStyle w:val="0"/>
      </w:pPr>
      <w:r>
        <w:rPr>
          <w:sz w:val="20"/>
        </w:rPr>
      </w:r>
    </w:p>
    <w:p>
      <w:pPr>
        <w:pStyle w:val="0"/>
      </w:pPr>
      <w:r>
        <w:rPr>
          <w:sz w:val="20"/>
        </w:rPr>
        <w:t xml:space="preserve">"</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7"/>
        <w:gridCol w:w="2665"/>
        <w:gridCol w:w="6009"/>
        <w:gridCol w:w="2948"/>
        <w:gridCol w:w="2551"/>
        <w:gridCol w:w="1984"/>
      </w:tblGrid>
      <w:tr>
        <w:tc>
          <w:tcPr>
            <w:tcW w:w="567" w:type="dxa"/>
            <w:tcBorders>
              <w:top w:val="nil"/>
              <w:bottom w:val="single" w:sz="4"/>
            </w:tcBorders>
          </w:tcPr>
          <w:p>
            <w:pPr>
              <w:pStyle w:val="0"/>
            </w:pPr>
            <w:r>
              <w:rPr>
                <w:sz w:val="20"/>
              </w:rPr>
            </w:r>
          </w:p>
        </w:tc>
        <w:tc>
          <w:tcPr>
            <w:tcW w:w="2665" w:type="dxa"/>
            <w:tcBorders>
              <w:top w:val="nil"/>
              <w:bottom w:val="single" w:sz="4"/>
            </w:tcBorders>
          </w:tcPr>
          <w:p>
            <w:pPr>
              <w:pStyle w:val="0"/>
            </w:pPr>
            <w:r>
              <w:rPr>
                <w:sz w:val="20"/>
              </w:rPr>
            </w:r>
          </w:p>
        </w:tc>
        <w:tc>
          <w:tcPr>
            <w:tcW w:w="6009" w:type="dxa"/>
            <w:tcBorders>
              <w:top w:val="single" w:sz="4"/>
              <w:bottom w:val="single" w:sz="4"/>
            </w:tcBorders>
          </w:tcPr>
          <w:p>
            <w:pPr>
              <w:pStyle w:val="0"/>
            </w:pPr>
            <w:r>
              <w:rPr>
                <w:sz w:val="20"/>
              </w:rPr>
              <w:t xml:space="preserve">25. Предоставление муниципальной услуги по 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c>
          <w:tcPr>
            <w:tcW w:w="2948" w:type="dxa"/>
            <w:tcBorders>
              <w:top w:val="single" w:sz="4"/>
              <w:bottom w:val="single" w:sz="4"/>
            </w:tcBorders>
          </w:tcPr>
          <w:p>
            <w:pPr>
              <w:pStyle w:val="0"/>
              <w:jc w:val="center"/>
            </w:pPr>
            <w:r>
              <w:rPr>
                <w:sz w:val="20"/>
              </w:rPr>
              <w:t xml:space="preserve">а, в, г, ж, и</w:t>
            </w:r>
          </w:p>
        </w:tc>
        <w:tc>
          <w:tcPr>
            <w:tcW w:w="2551" w:type="dxa"/>
            <w:tcBorders>
              <w:top w:val="single" w:sz="4"/>
              <w:bottom w:val="single" w:sz="4"/>
            </w:tcBorders>
          </w:tcPr>
          <w:p>
            <w:pPr>
              <w:pStyle w:val="0"/>
              <w:jc w:val="center"/>
            </w:pPr>
            <w:r>
              <w:rPr>
                <w:sz w:val="20"/>
              </w:rPr>
              <w:t xml:space="preserve">да</w:t>
            </w:r>
          </w:p>
        </w:tc>
        <w:tc>
          <w:tcPr>
            <w:tcW w:w="1984" w:type="dxa"/>
            <w:tcBorders>
              <w:top w:val="single" w:sz="4"/>
              <w:bottom w:val="single" w:sz="4"/>
            </w:tcBorders>
          </w:tcPr>
          <w:p>
            <w:pPr>
              <w:pStyle w:val="0"/>
              <w:jc w:val="center"/>
            </w:pPr>
            <w:r>
              <w:rPr>
                <w:sz w:val="20"/>
              </w:rPr>
              <w:t xml:space="preserve">нет</w:t>
            </w:r>
          </w:p>
        </w:tc>
      </w:tr>
    </w:tbl>
    <w:p>
      <w:pPr>
        <w:sectPr>
          <w:headerReference w:type="default" r:id="rId19"/>
          <w:headerReference w:type="first" r:id="rId19"/>
          <w:footerReference w:type="default" r:id="rId20"/>
          <w:footerReference w:type="first" r:id="rId20"/>
          <w:pgSz w:w="16838" w:h="11906" w:orient="landscape"/>
          <w:pgMar w:top="1133" w:right="1440" w:bottom="566" w:left="1440" w:header="0" w:footer="0" w:gutter="0"/>
          <w:titlePg/>
        </w:sectPr>
      </w:pPr>
    </w:p>
    <w:p>
      <w:pPr>
        <w:pStyle w:val="0"/>
        <w:jc w:val="right"/>
      </w:pPr>
      <w:r>
        <w:rPr>
          <w:sz w:val="20"/>
        </w:rPr>
        <w:t xml:space="preserve">".</w:t>
      </w:r>
    </w:p>
    <w:p>
      <w:pPr>
        <w:pStyle w:val="0"/>
      </w:pPr>
      <w:r>
        <w:rPr>
          <w:sz w:val="20"/>
        </w:rPr>
      </w:r>
    </w:p>
    <w:p>
      <w:pPr>
        <w:pStyle w:val="0"/>
        <w:ind w:firstLine="540"/>
        <w:jc w:val="both"/>
      </w:pPr>
      <w:r>
        <w:rPr>
          <w:sz w:val="20"/>
        </w:rPr>
        <w:t xml:space="preserve">4.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20 декабря 2021 г. N 1954</w:t>
      </w:r>
    </w:p>
    <w:p>
      <w:pPr>
        <w:pStyle w:val="0"/>
      </w:pPr>
      <w:r>
        <w:rPr>
          <w:sz w:val="20"/>
        </w:rPr>
      </w:r>
    </w:p>
    <w:bookmarkStart w:id="48" w:name="P48"/>
    <w:bookmarkEnd w:id="48"/>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w:t>
      </w:r>
    </w:p>
    <w:p>
      <w:pPr>
        <w:pStyle w:val="2"/>
        <w:jc w:val="center"/>
      </w:pPr>
      <w:r>
        <w:rPr>
          <w:sz w:val="20"/>
        </w:rPr>
        <w:t xml:space="preserve">ПО ПРЕКРАЩЕНИЮ ПРАВА ПОСТОЯННОГО (БЕССРОЧНОГО) ПОЛЬЗОВАНИЯ</w:t>
      </w:r>
    </w:p>
    <w:p>
      <w:pPr>
        <w:pStyle w:val="2"/>
        <w:jc w:val="center"/>
      </w:pPr>
      <w:r>
        <w:rPr>
          <w:sz w:val="20"/>
        </w:rPr>
        <w:t xml:space="preserve">И ПОЖИЗНЕННОГО НАСЛЕДУЕМОГО ВЛАДЕНИЯ ЗЕМЕЛЬНЫМ УЧАСТКОМ</w:t>
      </w:r>
    </w:p>
    <w:p>
      <w:pPr>
        <w:pStyle w:val="2"/>
        <w:jc w:val="center"/>
      </w:pPr>
      <w:r>
        <w:rPr>
          <w:sz w:val="20"/>
        </w:rPr>
        <w:t xml:space="preserve">ПРИ ОТКАЗЕ ЗЕМЛЕПОЛЬЗОВАТЕЛЯ, ЗЕМЛЕВЛАДЕЛЬЦА</w:t>
      </w:r>
    </w:p>
    <w:p>
      <w:pPr>
        <w:pStyle w:val="2"/>
        <w:jc w:val="center"/>
      </w:pPr>
      <w:r>
        <w:rPr>
          <w:sz w:val="20"/>
        </w:rPr>
        <w:t xml:space="preserve">ОТ ПРИНАДЛЕЖАЩЕГО ИМ ПРАВА НА ЗЕМЕЛЬНЫЙ УЧАСТОК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14.02.2023 </w:t>
            </w:r>
            <w:hyperlink w:history="0" r:id="rId21"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 от 14.07.2023 </w:t>
            </w:r>
            <w:hyperlink w:history="0" r:id="rId22"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1.1. Административный регламент по предоставлению муниципальной услуги по 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(далее - муниципальная услуга) устанавливает порядок и стандарт предоставления муниципальной услуги.</w:t>
      </w:r>
    </w:p>
    <w:p>
      <w:pPr>
        <w:pStyle w:val="0"/>
        <w:spacing w:before="200" w:line-rule="auto"/>
        <w:ind w:firstLine="540"/>
        <w:jc w:val="both"/>
      </w:pPr>
      <w:r>
        <w:rPr>
          <w:sz w:val="20"/>
        </w:rPr>
        <w:t xml:space="preserve">1.2. 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Вологды, полномочия по предоставлению которых в соответствии с федеральным законодательством возложены на органы местного самоуправления.</w:t>
      </w:r>
    </w:p>
    <w:p>
      <w:pPr>
        <w:pStyle w:val="0"/>
        <w:spacing w:before="200" w:line-rule="auto"/>
        <w:ind w:firstLine="540"/>
        <w:jc w:val="both"/>
      </w:pPr>
      <w:r>
        <w:rPr>
          <w:sz w:val="20"/>
        </w:rPr>
        <w:t xml:space="preserve">1.3. 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pPr>
        <w:pStyle w:val="0"/>
        <w:spacing w:before="200" w:line-rule="auto"/>
        <w:ind w:firstLine="540"/>
        <w:jc w:val="both"/>
      </w:pPr>
      <w:r>
        <w:rPr>
          <w:sz w:val="20"/>
        </w:rPr>
        <w:t xml:space="preserve">1.4. Орган, уполномоченный на предоставление муниципальной услуги, - Администрация города Вологды в лице Департамента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Почтовый адрес Уполномоченного органа: 160000, г. Вологда, Ленина ул., д. 2.</w:t>
      </w:r>
    </w:p>
    <w:p>
      <w:pPr>
        <w:pStyle w:val="0"/>
        <w:spacing w:before="200" w:line-rule="auto"/>
        <w:ind w:firstLine="540"/>
        <w:jc w:val="both"/>
      </w:pPr>
      <w:r>
        <w:rPr>
          <w:sz w:val="20"/>
        </w:rPr>
        <w:t xml:space="preserve">Телефон/факс: (8172) 72-20-59.</w:t>
      </w:r>
    </w:p>
    <w:p>
      <w:pPr>
        <w:pStyle w:val="0"/>
        <w:spacing w:before="200" w:line-rule="auto"/>
        <w:ind w:firstLine="540"/>
        <w:jc w:val="both"/>
      </w:pPr>
      <w:r>
        <w:rPr>
          <w:sz w:val="20"/>
        </w:rPr>
        <w:t xml:space="preserve">Адрес электронной почты: dg@vologda-city.ru.</w:t>
      </w:r>
    </w:p>
    <w:p>
      <w:pPr>
        <w:pStyle w:val="0"/>
        <w:spacing w:before="200" w:line-rule="auto"/>
        <w:ind w:firstLine="540"/>
        <w:jc w:val="both"/>
      </w:pPr>
      <w:r>
        <w:rPr>
          <w:sz w:val="20"/>
        </w:rPr>
        <w:t xml:space="preserve">Официальный сайт Администрации города Вологды в информационно-телекоммуникационной сети "Интернет": </w:t>
      </w:r>
      <w:r>
        <w:rPr>
          <w:sz w:val="20"/>
        </w:rPr>
        <w:t xml:space="preserve">https://vologda.gosuslugi.ru</w:t>
      </w:r>
      <w:r>
        <w:rPr>
          <w:sz w:val="20"/>
        </w:rPr>
        <w:t xml:space="preserve"> (далее - Интернет-сайт).</w:t>
      </w:r>
    </w:p>
    <w:p>
      <w:pPr>
        <w:pStyle w:val="0"/>
        <w:jc w:val="both"/>
      </w:pPr>
      <w:r>
        <w:rPr>
          <w:sz w:val="20"/>
        </w:rPr>
        <w:t xml:space="preserve">(в ред. </w:t>
      </w:r>
      <w:hyperlink w:history="0" r:id="rId23"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Абзацы седьмой - восьмой утратили силу. - </w:t>
      </w:r>
      <w:hyperlink w:history="0" r:id="rId24"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162.</w:t>
      </w:r>
    </w:p>
    <w:p>
      <w:pPr>
        <w:pStyle w:val="0"/>
        <w:spacing w:before="200" w:line-rule="auto"/>
        <w:ind w:firstLine="540"/>
        <w:jc w:val="both"/>
      </w:pPr>
      <w:r>
        <w:rPr>
          <w:sz w:val="20"/>
        </w:rPr>
        <w:t xml:space="preserve">График личного приема руководителя Уполномоченного органа: четверг (по предварительной записи): с 15.00 до 17.00.</w:t>
      </w:r>
    </w:p>
    <w:p>
      <w:pPr>
        <w:pStyle w:val="0"/>
        <w:spacing w:before="200" w:line-rule="auto"/>
        <w:ind w:firstLine="540"/>
        <w:jc w:val="both"/>
      </w:pPr>
      <w:r>
        <w:rPr>
          <w:sz w:val="20"/>
        </w:rPr>
        <w:t xml:space="preserve">Телефоны для информирования по вопросам, связанным с предоставлением муниципальной услуги: (8172) 72-63-84, 72-92-69.</w:t>
      </w:r>
    </w:p>
    <w:p>
      <w:pPr>
        <w:pStyle w:val="0"/>
        <w:spacing w:before="200" w:line-rule="auto"/>
        <w:ind w:firstLine="540"/>
        <w:jc w:val="both"/>
      </w:pPr>
      <w:r>
        <w:rPr>
          <w:sz w:val="20"/>
        </w:rPr>
        <w:t xml:space="preserve">Информацию о предоставлении муниципальной услуги можно получить в сети "Интернет", в том числе на Интернет-сайте, на Едином портале государственных и муниципальных услуг (функций): </w:t>
      </w:r>
      <w:r>
        <w:rPr>
          <w:sz w:val="20"/>
        </w:rPr>
        <w:t xml:space="preserve">www.gosuslugi.ru</w:t>
      </w:r>
      <w:r>
        <w:rPr>
          <w:sz w:val="20"/>
        </w:rPr>
        <w:t xml:space="preserve"> (далее - Единый портал), на Портале государственных и муниципальных услуг (функций) Вологодской области: </w:t>
      </w:r>
      <w:r>
        <w:rPr>
          <w:sz w:val="20"/>
        </w:rPr>
        <w:t xml:space="preserve">https://gosuslugi35.ru</w:t>
      </w:r>
      <w:r>
        <w:rPr>
          <w:sz w:val="20"/>
        </w:rPr>
        <w:t xml:space="preserve"> (далее - Региональный портал).</w:t>
      </w:r>
    </w:p>
    <w:p>
      <w:pPr>
        <w:pStyle w:val="0"/>
        <w:spacing w:before="200" w:line-rule="auto"/>
        <w:ind w:firstLine="540"/>
        <w:jc w:val="both"/>
      </w:pPr>
      <w:r>
        <w:rPr>
          <w:sz w:val="20"/>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Место нахождения и почтовый адрес МФЦ: 160001, г. Вологда, ул. Мальцева, д. 52.</w:t>
      </w:r>
    </w:p>
    <w:p>
      <w:pPr>
        <w:pStyle w:val="0"/>
        <w:spacing w:before="200" w:line-rule="auto"/>
        <w:ind w:firstLine="540"/>
        <w:jc w:val="both"/>
      </w:pPr>
      <w:r>
        <w:rPr>
          <w:sz w:val="20"/>
        </w:rPr>
        <w:t xml:space="preserve">Адреса, справочные телефоны МФЦ:</w:t>
      </w:r>
    </w:p>
    <w:p>
      <w:pPr>
        <w:pStyle w:val="0"/>
        <w:spacing w:before="200" w:line-rule="auto"/>
        <w:ind w:firstLine="540"/>
        <w:jc w:val="both"/>
      </w:pPr>
      <w:r>
        <w:rPr>
          <w:sz w:val="20"/>
        </w:rPr>
        <w:t xml:space="preserve">Мальцева ул., д. 52, Вологда, 160001; Мира ул., д. 1, Вологда, 160000, тел.: (8172) 77-07-07.</w:t>
      </w:r>
    </w:p>
    <w:p>
      <w:pPr>
        <w:pStyle w:val="0"/>
        <w:spacing w:before="200" w:line-rule="auto"/>
        <w:ind w:firstLine="540"/>
        <w:jc w:val="both"/>
      </w:pPr>
      <w:r>
        <w:rPr>
          <w:sz w:val="20"/>
        </w:rPr>
        <w:t xml:space="preserve">Адрес электронной почты: gkrc@mail.ru.</w:t>
      </w:r>
    </w:p>
    <w:p>
      <w:pPr>
        <w:pStyle w:val="0"/>
        <w:spacing w:before="200" w:line-rule="auto"/>
        <w:ind w:firstLine="540"/>
        <w:jc w:val="both"/>
      </w:pPr>
      <w:r>
        <w:rPr>
          <w:sz w:val="20"/>
        </w:rPr>
        <w:t xml:space="preserve">График работы МФЦ: понедельник: с 08.00 до 18.00, вторник - четверг: с 08.00 до 20.00, пятница: с 08.00 до 18.00, суббота: с 09.00 до 13.00, выходной день: воскресенье.</w:t>
      </w:r>
    </w:p>
    <w:p>
      <w:pPr>
        <w:pStyle w:val="0"/>
        <w:spacing w:before="200" w:line-rule="auto"/>
        <w:ind w:firstLine="540"/>
        <w:jc w:val="both"/>
      </w:pPr>
      <w:r>
        <w:rPr>
          <w:sz w:val="20"/>
        </w:rPr>
        <w:t xml:space="preserve">1.5.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 (далее - сайт МФЦ);</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1.6. Порядок информирования о предоставлении муниципальной услуги</w:t>
      </w:r>
    </w:p>
    <w:p>
      <w:pPr>
        <w:pStyle w:val="0"/>
        <w:spacing w:before="200" w:line-rule="auto"/>
        <w:ind w:firstLine="540"/>
        <w:jc w:val="both"/>
      </w:pPr>
      <w:r>
        <w:rPr>
          <w:sz w:val="20"/>
        </w:rPr>
        <w:t xml:space="preserve">1.6.1. Информирование о предоставлении муниципальной услуги осуществляется по следующим вопросам:</w:t>
      </w:r>
    </w:p>
    <w:p>
      <w:pPr>
        <w:pStyle w:val="0"/>
        <w:spacing w:before="200" w:line-rule="auto"/>
        <w:ind w:firstLine="540"/>
        <w:jc w:val="both"/>
      </w:pPr>
      <w:r>
        <w:rPr>
          <w:sz w:val="20"/>
        </w:rPr>
        <w:t xml:space="preserve">место нахождения Уполномоченного органа, его структурных подразделений (при наличии), МФЦ;</w:t>
      </w:r>
    </w:p>
    <w:p>
      <w:pPr>
        <w:pStyle w:val="0"/>
        <w:spacing w:before="200" w:line-rule="auto"/>
        <w:ind w:firstLine="540"/>
        <w:jc w:val="both"/>
      </w:pPr>
      <w:r>
        <w:rPr>
          <w:sz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Интернет-сайта, сайта МФЦ;</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работников МФЦ, а также решений, принятых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2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1.6.2.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 публичного информирования.</w:t>
      </w:r>
    </w:p>
    <w:p>
      <w:pPr>
        <w:pStyle w:val="0"/>
        <w:spacing w:before="200" w:line-rule="auto"/>
        <w:ind w:firstLine="540"/>
        <w:jc w:val="both"/>
      </w:pPr>
      <w:r>
        <w:rPr>
          <w:sz w:val="20"/>
        </w:rPr>
        <w:t xml:space="preserve">1.6.3.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0"/>
        <w:spacing w:before="200" w:line-rule="auto"/>
        <w:ind w:firstLine="540"/>
        <w:jc w:val="both"/>
      </w:pPr>
      <w:r>
        <w:rPr>
          <w:sz w:val="20"/>
        </w:rPr>
        <w:t xml:space="preserve">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Уполномоченного органа (структурного подразделения - при наличии).</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1.6.4.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0"/>
        <w:spacing w:before="200" w:line-rule="auto"/>
        <w:ind w:firstLine="540"/>
        <w:jc w:val="both"/>
      </w:pPr>
      <w:r>
        <w:rPr>
          <w:sz w:val="20"/>
        </w:rPr>
        <w:t xml:space="preserve">1.6.5.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pPr>
      <w:r>
        <w:rPr>
          <w:sz w:val="20"/>
        </w:rPr>
      </w:r>
    </w:p>
    <w:p>
      <w:pPr>
        <w:pStyle w:val="2"/>
        <w:outlineLvl w:val="1"/>
        <w:jc w:val="center"/>
      </w:pPr>
      <w:r>
        <w:rPr>
          <w:sz w:val="20"/>
        </w:rPr>
        <w:t xml:space="preserve">II. Стандарт предоставления муниципальной услуги</w:t>
      </w:r>
    </w:p>
    <w:p>
      <w:pPr>
        <w:pStyle w:val="0"/>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 Уполномоченным органом;</w:t>
      </w:r>
    </w:p>
    <w:p>
      <w:pPr>
        <w:pStyle w:val="0"/>
        <w:spacing w:before="200" w:line-rule="auto"/>
        <w:ind w:firstLine="540"/>
        <w:jc w:val="both"/>
      </w:pPr>
      <w:r>
        <w:rPr>
          <w:sz w:val="20"/>
        </w:rPr>
        <w:t xml:space="preserve">- МФЦ - в части приема (выдачи) документов и передачи их на рассмотрение в Уполномоченный орган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2.2.2. Специалисты Уполномоченного органа, ответственные за предоставление муниципальной услуги, определяются приказом Уполномоченного органа. Перечень специалистов, ответственных за предоставление муниципальной услуги, размещается на Интернет-сайте, на информационном стенде в Уполномоченном органе.</w:t>
      </w:r>
    </w:p>
    <w:p>
      <w:pPr>
        <w:pStyle w:val="0"/>
        <w:spacing w:before="200" w:line-rule="auto"/>
        <w:ind w:firstLine="540"/>
        <w:jc w:val="both"/>
      </w:pPr>
      <w:r>
        <w:rPr>
          <w:sz w:val="20"/>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Результатом предоставления муниципальной услуги является направление (вручение) заявителю (заявителям):</w:t>
      </w:r>
    </w:p>
    <w:p>
      <w:pPr>
        <w:pStyle w:val="0"/>
        <w:spacing w:before="200" w:line-rule="auto"/>
        <w:ind w:firstLine="540"/>
        <w:jc w:val="both"/>
      </w:pPr>
      <w:r>
        <w:rPr>
          <w:sz w:val="20"/>
        </w:rPr>
        <w:t xml:space="preserve">решения о прекращении права постоянного (бессрочного) пользования;</w:t>
      </w:r>
    </w:p>
    <w:p>
      <w:pPr>
        <w:pStyle w:val="0"/>
        <w:spacing w:before="200" w:line-rule="auto"/>
        <w:ind w:firstLine="540"/>
        <w:jc w:val="both"/>
      </w:pPr>
      <w:r>
        <w:rPr>
          <w:sz w:val="20"/>
        </w:rPr>
        <w:t xml:space="preserve">решения о прекращении права пожизненного наследуемого владения земельным участком.</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pPr>
        <w:pStyle w:val="0"/>
        <w:spacing w:before="200" w:line-rule="auto"/>
        <w:ind w:firstLine="540"/>
        <w:jc w:val="both"/>
      </w:pPr>
      <w:r>
        <w:rPr>
          <w:sz w:val="20"/>
        </w:rPr>
        <w:t xml:space="preserve">2.5. Правовые основания для предоставления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в соответствии с:</w:t>
      </w:r>
    </w:p>
    <w:p>
      <w:pPr>
        <w:pStyle w:val="0"/>
        <w:spacing w:before="200" w:line-rule="auto"/>
        <w:ind w:firstLine="540"/>
        <w:jc w:val="both"/>
      </w:pP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Земельным </w:t>
      </w:r>
      <w:hyperlink w:history="0" r:id="rId2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28"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Pr>
            <w:sz w:val="20"/>
            <w:color w:val="0000ff"/>
          </w:rPr>
          <w:t xml:space="preserve">законом</w:t>
        </w:r>
      </w:hyperlink>
      <w:r>
        <w:rPr>
          <w:sz w:val="20"/>
        </w:rPr>
        <w:t xml:space="preserve"> от 25 октября 2001 года N 137-ФЗ "О введении в действие Земельного кодекса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2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(далее - Закон N 210-ФЗ) (с последующими изменениями);</w:t>
      </w:r>
    </w:p>
    <w:p>
      <w:pPr>
        <w:pStyle w:val="0"/>
        <w:spacing w:before="200" w:line-rule="auto"/>
        <w:ind w:firstLine="540"/>
        <w:jc w:val="both"/>
      </w:pPr>
      <w:r>
        <w:rPr>
          <w:sz w:val="20"/>
        </w:rPr>
        <w:t xml:space="preserve">Федеральным </w:t>
      </w:r>
      <w:hyperlink w:history="0" r:id="rId3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Федеральным </w:t>
      </w:r>
      <w:hyperlink w:history="0" r:id="rId3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(с последующими изменениями);</w:t>
      </w:r>
    </w:p>
    <w:p>
      <w:pPr>
        <w:pStyle w:val="0"/>
        <w:spacing w:before="200" w:line-rule="auto"/>
        <w:ind w:firstLine="540"/>
        <w:jc w:val="both"/>
      </w:pPr>
      <w:r>
        <w:rPr>
          <w:sz w:val="20"/>
        </w:rPr>
        <w:t xml:space="preserve">Федеральным </w:t>
      </w:r>
      <w:hyperlink w:history="0" r:id="rId3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(далее - Закон N 63-ФЗ) (с последующими изменениями);</w:t>
      </w:r>
    </w:p>
    <w:p>
      <w:pPr>
        <w:pStyle w:val="0"/>
        <w:spacing w:before="200" w:line-rule="auto"/>
        <w:ind w:firstLine="540"/>
        <w:jc w:val="both"/>
      </w:pPr>
      <w:r>
        <w:rPr>
          <w:sz w:val="20"/>
        </w:rPr>
        <w:t xml:space="preserve">Федеральным </w:t>
      </w:r>
      <w:hyperlink w:history="0" r:id="rId34"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 (с последующими изменениями);</w:t>
      </w:r>
    </w:p>
    <w:p>
      <w:pPr>
        <w:pStyle w:val="0"/>
        <w:spacing w:before="200" w:line-rule="auto"/>
        <w:ind w:firstLine="540"/>
        <w:jc w:val="both"/>
      </w:pPr>
      <w:hyperlink w:history="0" r:id="rId35"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Уставом</w:t>
        </w:r>
      </w:hyperlink>
      <w:r>
        <w:rPr>
          <w:sz w:val="20"/>
        </w:rPr>
        <w:t xml:space="preserve"> городского округа города Вологды, принятым решением Вологодской городской Думы от 25 августа 2005 года N 301 (с последующими изменениями);</w:t>
      </w:r>
    </w:p>
    <w:p>
      <w:pPr>
        <w:pStyle w:val="0"/>
        <w:spacing w:before="200" w:line-rule="auto"/>
        <w:ind w:firstLine="540"/>
        <w:jc w:val="both"/>
      </w:pPr>
      <w:hyperlink w:history="0" r:id="rId36" w:tooltip="Решение Вологодской городской Думы от 19.02.2015 N 203 (ред. от 23.03.2023) &quot;Об управлении и распоряжении земельными участками, находящимися в собственности городского округа города Вологды&quot; (принято Вологодской городской Думой 19.02.2015) {КонсультантПлюс}">
        <w:r>
          <w:rPr>
            <w:sz w:val="20"/>
            <w:color w:val="0000ff"/>
          </w:rPr>
          <w:t xml:space="preserve">решением</w:t>
        </w:r>
      </w:hyperlink>
      <w:r>
        <w:rPr>
          <w:sz w:val="20"/>
        </w:rPr>
        <w:t xml:space="preserve"> Вологодской городской Думы от 19 февраля 2015 года N 203 "Об управлении и распоряжении земельными участками, находящимися в собственности городского округа города Вологды" (с последующими изменениями);</w:t>
      </w:r>
    </w:p>
    <w:p>
      <w:pPr>
        <w:pStyle w:val="0"/>
        <w:spacing w:before="200" w:line-rule="auto"/>
        <w:ind w:firstLine="540"/>
        <w:jc w:val="both"/>
      </w:pPr>
      <w:hyperlink w:history="0" r:id="rId37" w:tooltip="Решение Вологодской городской Думы от 06.05.2010 N 342 (ред. от 23.03.2023) &quot;О реализации права на участие в осуществлении государственных полномочий в отношении земельных участков, расположенных на территории городского округа города Вологды&quot; (принято Вологодской городской Думой 29.04.2010) {КонсультантПлюс}">
        <w:r>
          <w:rPr>
            <w:sz w:val="20"/>
            <w:color w:val="0000ff"/>
          </w:rPr>
          <w:t xml:space="preserve">решением</w:t>
        </w:r>
      </w:hyperlink>
      <w:r>
        <w:rPr>
          <w:sz w:val="20"/>
        </w:rPr>
        <w:t xml:space="preserve"> Вологодской городской Думы от 6 мая 2010 года N 342 "О реализации права на участие в осуществлении государственных полномочий в отношении земельных участков, расположенных на территории городского округа города Вологды" (с последующими изменениями);</w:t>
      </w:r>
    </w:p>
    <w:p>
      <w:pPr>
        <w:pStyle w:val="0"/>
        <w:spacing w:before="200" w:line-rule="auto"/>
        <w:ind w:firstLine="540"/>
        <w:jc w:val="both"/>
      </w:pPr>
      <w:r>
        <w:rPr>
          <w:sz w:val="20"/>
        </w:rPr>
        <w:t xml:space="preserve">настоящим административным регламентом.</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Start w:id="153" w:name="P153"/>
    <w:bookmarkEnd w:id="153"/>
    <w:p>
      <w:pPr>
        <w:pStyle w:val="0"/>
        <w:spacing w:before="200" w:line-rule="auto"/>
        <w:ind w:firstLine="540"/>
        <w:jc w:val="both"/>
      </w:pPr>
      <w:r>
        <w:rPr>
          <w:sz w:val="20"/>
        </w:rPr>
        <w:t xml:space="preserve">2.6.1. Для предоставления муниципальной услуги заявитель представляет (направляет):</w:t>
      </w:r>
    </w:p>
    <w:p>
      <w:pPr>
        <w:pStyle w:val="0"/>
        <w:spacing w:before="200" w:line-rule="auto"/>
        <w:ind w:firstLine="540"/>
        <w:jc w:val="both"/>
      </w:pPr>
      <w:r>
        <w:rPr>
          <w:sz w:val="20"/>
        </w:rPr>
        <w:t xml:space="preserve">а) </w:t>
      </w:r>
      <w:hyperlink w:history="0" w:anchor="P390" w:tooltip="ЗАЯВЛЕНИЕ">
        <w:r>
          <w:rPr>
            <w:sz w:val="20"/>
            <w:color w:val="0000ff"/>
          </w:rPr>
          <w:t xml:space="preserve">заявление</w:t>
        </w:r>
      </w:hyperlink>
      <w:r>
        <w:rPr>
          <w:sz w:val="20"/>
        </w:rPr>
        <w:t xml:space="preserve"> об отказе от права постоянного (бессрочного) пользования земельным участком (об отказе от права пожизненного наследуемого владения земельным участком) (далее - заявление) по форме согласно приложению к настоящему административному регламенту либо в свободной форме.</w:t>
      </w:r>
    </w:p>
    <w:p>
      <w:pPr>
        <w:pStyle w:val="0"/>
        <w:spacing w:before="200" w:line-rule="auto"/>
        <w:ind w:firstLine="540"/>
        <w:jc w:val="both"/>
      </w:pPr>
      <w:r>
        <w:rPr>
          <w:sz w:val="20"/>
        </w:rPr>
        <w:t xml:space="preserve">В заявлении указываются:</w:t>
      </w:r>
    </w:p>
    <w:p>
      <w:pPr>
        <w:pStyle w:val="0"/>
        <w:spacing w:before="200" w:line-rule="auto"/>
        <w:ind w:firstLine="540"/>
        <w:jc w:val="both"/>
      </w:pPr>
      <w:r>
        <w:rPr>
          <w:sz w:val="20"/>
        </w:rPr>
        <w:t xml:space="preserve">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pPr>
        <w:pStyle w:val="0"/>
        <w:spacing w:before="200" w:line-rule="auto"/>
        <w:ind w:firstLine="540"/>
        <w:jc w:val="both"/>
      </w:pPr>
      <w:r>
        <w:rPr>
          <w:sz w:val="20"/>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pPr>
        <w:pStyle w:val="0"/>
        <w:spacing w:before="200" w:line-rule="auto"/>
        <w:ind w:firstLine="540"/>
        <w:jc w:val="both"/>
      </w:pPr>
      <w:r>
        <w:rPr>
          <w:sz w:val="20"/>
        </w:rPr>
        <w:t xml:space="preserve">почтовый адрес, номер телефона и (или) адрес электронной почты для связи с заявителем;</w:t>
      </w:r>
    </w:p>
    <w:p>
      <w:pPr>
        <w:pStyle w:val="0"/>
        <w:spacing w:before="200" w:line-rule="auto"/>
        <w:ind w:firstLine="540"/>
        <w:jc w:val="both"/>
      </w:pPr>
      <w:r>
        <w:rPr>
          <w:sz w:val="20"/>
        </w:rPr>
        <w:t xml:space="preserve">намерение заявителя отказаться от права постоянного (бессрочного) пользования земельным участком или пожизненного наследуемого владения земельным участком;</w:t>
      </w:r>
    </w:p>
    <w:p>
      <w:pPr>
        <w:pStyle w:val="0"/>
        <w:spacing w:before="200" w:line-rule="auto"/>
        <w:ind w:firstLine="540"/>
        <w:jc w:val="both"/>
      </w:pPr>
      <w:r>
        <w:rPr>
          <w:sz w:val="20"/>
        </w:rPr>
        <w:t xml:space="preserve">адрес земельного участка, площадь, кадастровый номер земельного участка (при наличии);</w:t>
      </w:r>
    </w:p>
    <w:p>
      <w:pPr>
        <w:pStyle w:val="0"/>
        <w:spacing w:before="200" w:line-rule="auto"/>
        <w:ind w:firstLine="540"/>
        <w:jc w:val="both"/>
      </w:pPr>
      <w:r>
        <w:rPr>
          <w:sz w:val="20"/>
        </w:rPr>
        <w:t xml:space="preserve">перечень прилагаемых документов;</w:t>
      </w:r>
    </w:p>
    <w:p>
      <w:pPr>
        <w:pStyle w:val="0"/>
        <w:spacing w:before="200" w:line-rule="auto"/>
        <w:ind w:firstLine="540"/>
        <w:jc w:val="both"/>
      </w:pPr>
      <w:r>
        <w:rPr>
          <w:sz w:val="20"/>
        </w:rPr>
        <w:t xml:space="preserve">подпись заявителя;</w:t>
      </w:r>
    </w:p>
    <w:p>
      <w:pPr>
        <w:pStyle w:val="0"/>
        <w:spacing w:before="200" w:line-rule="auto"/>
        <w:ind w:firstLine="540"/>
        <w:jc w:val="both"/>
      </w:pPr>
      <w:r>
        <w:rPr>
          <w:sz w:val="20"/>
        </w:rPr>
        <w:t xml:space="preserve">дата;</w:t>
      </w:r>
    </w:p>
    <w:p>
      <w:pPr>
        <w:pStyle w:val="0"/>
        <w:spacing w:before="200" w:line-rule="auto"/>
        <w:ind w:firstLine="540"/>
        <w:jc w:val="both"/>
      </w:pPr>
      <w:r>
        <w:rPr>
          <w:sz w:val="20"/>
        </w:rPr>
        <w:t xml:space="preserve">способ предоставления результатов рассмотрения заявления.</w:t>
      </w:r>
    </w:p>
    <w:p>
      <w:pPr>
        <w:pStyle w:val="0"/>
        <w:spacing w:before="200" w:line-rule="auto"/>
        <w:ind w:firstLine="540"/>
        <w:jc w:val="both"/>
      </w:pPr>
      <w:r>
        <w:rPr>
          <w:sz w:val="20"/>
        </w:rPr>
        <w:t xml:space="preserve">Форма заявления на предоставление муниципальной услуги размещается на Интернет-сайте в сети "Интернет" с возможностью бесплатного копирования (скачивания).</w:t>
      </w:r>
    </w:p>
    <w:p>
      <w:pPr>
        <w:pStyle w:val="0"/>
        <w:spacing w:before="200" w:line-rule="auto"/>
        <w:ind w:firstLine="540"/>
        <w:jc w:val="both"/>
      </w:pPr>
      <w:r>
        <w:rPr>
          <w:sz w:val="20"/>
        </w:rPr>
        <w:t xml:space="preserve">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0"/>
        <w:spacing w:before="200" w:line-rule="auto"/>
        <w:ind w:firstLine="540"/>
        <w:jc w:val="both"/>
      </w:pPr>
      <w:r>
        <w:rPr>
          <w:sz w:val="20"/>
        </w:rPr>
        <w:t xml:space="preserve">Заявление в форме электронного документа подписывается по выбору заявителя (если заявителем является физическое лицо):</w:t>
      </w:r>
    </w:p>
    <w:p>
      <w:pPr>
        <w:pStyle w:val="0"/>
        <w:spacing w:before="200" w:line-rule="auto"/>
        <w:ind w:firstLine="540"/>
        <w:jc w:val="both"/>
      </w:pPr>
      <w:r>
        <w:rPr>
          <w:sz w:val="20"/>
        </w:rPr>
        <w:t xml:space="preserve">простой электронной подписью заявителя;</w:t>
      </w:r>
    </w:p>
    <w:p>
      <w:pPr>
        <w:pStyle w:val="0"/>
        <w:spacing w:before="200" w:line-rule="auto"/>
        <w:ind w:firstLine="540"/>
        <w:jc w:val="both"/>
      </w:pPr>
      <w:r>
        <w:rPr>
          <w:sz w:val="20"/>
        </w:rPr>
        <w:t xml:space="preserve">усиленной квалифицированной электронной подписью заявителя.</w:t>
      </w:r>
    </w:p>
    <w:p>
      <w:pPr>
        <w:pStyle w:val="0"/>
        <w:spacing w:before="200" w:line-rule="auto"/>
        <w:ind w:firstLine="540"/>
        <w:jc w:val="both"/>
      </w:pPr>
      <w:r>
        <w:rPr>
          <w:sz w:val="20"/>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0"/>
        <w:spacing w:before="200" w:line-rule="auto"/>
        <w:ind w:firstLine="540"/>
        <w:jc w:val="both"/>
      </w:pPr>
      <w:r>
        <w:rPr>
          <w:sz w:val="20"/>
        </w:rPr>
        <w:t xml:space="preserve">лица, действующего от имени юридического лица без доверенности;</w:t>
      </w:r>
    </w:p>
    <w:p>
      <w:pPr>
        <w:pStyle w:val="0"/>
        <w:spacing w:before="200" w:line-rule="auto"/>
        <w:ind w:firstLine="540"/>
        <w:jc w:val="both"/>
      </w:pPr>
      <w:r>
        <w:rPr>
          <w:sz w:val="20"/>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(последнее - при наличии) полностью и ставит подпись.</w:t>
      </w:r>
    </w:p>
    <w:p>
      <w:pPr>
        <w:pStyle w:val="0"/>
        <w:spacing w:before="200" w:line-rule="auto"/>
        <w:ind w:firstLine="540"/>
        <w:jc w:val="both"/>
      </w:pPr>
      <w:r>
        <w:rPr>
          <w:sz w:val="20"/>
        </w:rPr>
        <w:t xml:space="preserve">Заявление составляется в единственном экземпляре - оригинале.</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bookmarkStart w:id="176" w:name="P176"/>
    <w:bookmarkEnd w:id="176"/>
    <w:p>
      <w:pPr>
        <w:pStyle w:val="0"/>
        <w:spacing w:before="200" w:line-rule="auto"/>
        <w:ind w:firstLine="540"/>
        <w:jc w:val="both"/>
      </w:pPr>
      <w:r>
        <w:rPr>
          <w:sz w:val="20"/>
        </w:rPr>
        <w:t xml:space="preserve">б)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 подписью);</w:t>
      </w:r>
    </w:p>
    <w:bookmarkStart w:id="177" w:name="P177"/>
    <w:bookmarkEnd w:id="177"/>
    <w:p>
      <w:pPr>
        <w:pStyle w:val="0"/>
        <w:spacing w:before="200" w:line-rule="auto"/>
        <w:ind w:firstLine="540"/>
        <w:jc w:val="both"/>
      </w:pPr>
      <w:r>
        <w:rPr>
          <w:sz w:val="20"/>
        </w:rPr>
        <w:t xml:space="preserve">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0"/>
        <w:spacing w:before="200" w:line-rule="auto"/>
        <w:ind w:firstLine="540"/>
        <w:jc w:val="both"/>
      </w:pPr>
      <w:r>
        <w:rPr>
          <w:sz w:val="20"/>
        </w:rPr>
        <w:t xml:space="preserve">г)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обращения за предоставлением муниципальной услуги юридического лица;</w:t>
      </w:r>
    </w:p>
    <w:bookmarkStart w:id="179" w:name="P179"/>
    <w:bookmarkEnd w:id="179"/>
    <w:p>
      <w:pPr>
        <w:pStyle w:val="0"/>
        <w:spacing w:before="200" w:line-rule="auto"/>
        <w:ind w:firstLine="540"/>
        <w:jc w:val="both"/>
      </w:pPr>
      <w:r>
        <w:rPr>
          <w:sz w:val="20"/>
        </w:rPr>
        <w:t xml:space="preserve">д) документы, удостоверяющие права на землю, в случае если они не находятся в распоряжении органов местного самоуправления, органов исполнительной государственной власти либо подведомственных указанным органам организаций.</w:t>
      </w:r>
    </w:p>
    <w:p>
      <w:pPr>
        <w:pStyle w:val="0"/>
        <w:spacing w:before="200" w:line-rule="auto"/>
        <w:ind w:firstLine="540"/>
        <w:jc w:val="both"/>
      </w:pPr>
      <w:r>
        <w:rPr>
          <w:sz w:val="20"/>
        </w:rPr>
        <w:t xml:space="preserve">2.6.2.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имеются в виду абз. "б", "в", "д" пп. 2.6.1 п. 2.6, а не абз. "б", "в", "д" пп. 2.6.2 п. 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направления заявления и прилагаемых документов посредством почтового направления направляются копии документов, указанных в </w:t>
      </w:r>
      <w:hyperlink w:history="0" w:anchor="P176" w:tooltip="б)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Регионального портала, а также, если заявление подписано усиленной квалифицированной электронной подписью);">
        <w:r>
          <w:rPr>
            <w:sz w:val="20"/>
            <w:color w:val="0000ff"/>
          </w:rPr>
          <w:t xml:space="preserve">абзацах "б"</w:t>
        </w:r>
      </w:hyperlink>
      <w:r>
        <w:rPr>
          <w:sz w:val="20"/>
        </w:rPr>
        <w:t xml:space="preserve">, </w:t>
      </w:r>
      <w:hyperlink w:history="0" w:anchor="P177" w:tooltip="в) документ, подтверждающий полномочия представителя заявителя (в случае обращения за получением муниципальной услуги представителя заявителя);">
        <w:r>
          <w:rPr>
            <w:sz w:val="20"/>
            <w:color w:val="0000ff"/>
          </w:rPr>
          <w:t xml:space="preserve">"в"</w:t>
        </w:r>
      </w:hyperlink>
      <w:r>
        <w:rPr>
          <w:sz w:val="20"/>
        </w:rPr>
        <w:t xml:space="preserve">, </w:t>
      </w:r>
      <w:hyperlink w:history="0" w:anchor="P179" w:tooltip="д) документы, удостоверяющие права на землю, в случае если они не находятся в распоряжении органов местного самоуправления, органов исполнительной государственной власти либо подведомственных указанным органам организаций.">
        <w:r>
          <w:rPr>
            <w:sz w:val="20"/>
            <w:color w:val="0000ff"/>
          </w:rPr>
          <w:t xml:space="preserve">"д" подпункта 2.6.2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Заявитель вправе направить заявление и прилагаемые документы в форме электронных документов с использованием Регионального портала либо путем направления электронного документа на официальную электронную почту Уполномоченного органа.</w:t>
      </w:r>
    </w:p>
    <w:bookmarkStart w:id="185" w:name="P185"/>
    <w:bookmarkEnd w:id="185"/>
    <w:p>
      <w:pPr>
        <w:pStyle w:val="0"/>
        <w:spacing w:before="200" w:line-rule="auto"/>
        <w:ind w:firstLine="540"/>
        <w:jc w:val="both"/>
      </w:pPr>
      <w:r>
        <w:rPr>
          <w:sz w:val="20"/>
        </w:rPr>
        <w:t xml:space="preserve">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0"/>
        <w:spacing w:before="200" w:line-rule="auto"/>
        <w:ind w:firstLine="540"/>
        <w:jc w:val="both"/>
      </w:pPr>
      <w:r>
        <w:rPr>
          <w:sz w:val="20"/>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0"/>
        <w:spacing w:before="200" w:line-rule="auto"/>
        <w:ind w:firstLine="540"/>
        <w:jc w:val="both"/>
      </w:pPr>
      <w:r>
        <w:rPr>
          <w:sz w:val="20"/>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0"/>
        <w:spacing w:before="200" w:line-rule="auto"/>
        <w:ind w:firstLine="540"/>
        <w:jc w:val="both"/>
      </w:pPr>
      <w:r>
        <w:rPr>
          <w:sz w:val="20"/>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0"/>
        <w:spacing w:before="200" w:line-rule="auto"/>
        <w:ind w:firstLine="540"/>
        <w:jc w:val="both"/>
      </w:pPr>
      <w:r>
        <w:rPr>
          <w:sz w:val="20"/>
        </w:rPr>
        <w:t xml:space="preserve">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0"/>
        <w:spacing w:before="200" w:line-rule="auto"/>
        <w:ind w:firstLine="540"/>
        <w:jc w:val="both"/>
      </w:pPr>
      <w:r>
        <w:rPr>
          <w:sz w:val="20"/>
        </w:rPr>
        <w:t xml:space="preserve">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0"/>
        <w:spacing w:before="200" w:line-rule="auto"/>
        <w:ind w:firstLine="540"/>
        <w:jc w:val="both"/>
      </w:pPr>
      <w:r>
        <w:rPr>
          <w:sz w:val="20"/>
        </w:rPr>
        <w:t xml:space="preserve">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2.6.7. В случае поступления в Уполномоченный орган заявления и прилагаемых нему документов в форме электронных документов специалист Уполномоченного органа, ответственный за прием и регистрацию документов, подтверждает факт получения указанного заявления и прилагаемых к нему документов путем направления заявителю уведомления, содержащего регистрационный номер заявления, дату получения Уполномоченным органом указанного заявления и прилагаемых к нему документов (далее - уведомление о получении заявления).</w:t>
      </w:r>
    </w:p>
    <w:p>
      <w:pPr>
        <w:pStyle w:val="0"/>
        <w:spacing w:before="200" w:line-rule="auto"/>
        <w:ind w:firstLine="540"/>
        <w:jc w:val="both"/>
      </w:pPr>
      <w:r>
        <w:rPr>
          <w:sz w:val="20"/>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0"/>
        <w:spacing w:before="200" w:line-rule="auto"/>
        <w:ind w:firstLine="540"/>
        <w:jc w:val="both"/>
      </w:pPr>
      <w:r>
        <w:rPr>
          <w:sz w:val="20"/>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Start w:id="195" w:name="P195"/>
    <w:bookmarkEnd w:id="195"/>
    <w:p>
      <w:pPr>
        <w:pStyle w:val="0"/>
        <w:spacing w:before="200" w:line-rule="auto"/>
        <w:ind w:firstLine="540"/>
        <w:jc w:val="both"/>
      </w:pPr>
      <w:r>
        <w:rPr>
          <w:sz w:val="20"/>
        </w:rPr>
        <w:t xml:space="preserve">2.7.1. Заявитель вправе представить в Уполномоченный орган:</w:t>
      </w:r>
    </w:p>
    <w:p>
      <w:pPr>
        <w:pStyle w:val="0"/>
        <w:spacing w:before="200" w:line-rule="auto"/>
        <w:ind w:firstLine="540"/>
        <w:jc w:val="both"/>
      </w:pPr>
      <w:r>
        <w:rPr>
          <w:sz w:val="20"/>
        </w:rPr>
        <w:t xml:space="preserve">копию документа, подтверждающего государственную регистрацию юридического лица (для юридического лица);</w:t>
      </w:r>
    </w:p>
    <w:p>
      <w:pPr>
        <w:pStyle w:val="0"/>
        <w:spacing w:before="200" w:line-rule="auto"/>
        <w:ind w:firstLine="540"/>
        <w:jc w:val="both"/>
      </w:pPr>
      <w:r>
        <w:rPr>
          <w:sz w:val="20"/>
        </w:rPr>
        <w:t xml:space="preserve">выписку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pPr>
        <w:pStyle w:val="0"/>
        <w:spacing w:before="200" w:line-rule="auto"/>
        <w:ind w:firstLine="540"/>
        <w:jc w:val="both"/>
      </w:pPr>
      <w:r>
        <w:rPr>
          <w:sz w:val="20"/>
        </w:rPr>
        <w:t xml:space="preserve">документы, удостоверяющие права на землю, а в случае их отсутствия - копию решения исполнительного органа государственной власти или органа местного самоуправления, предусмотренных </w:t>
      </w:r>
      <w:hyperlink w:history="0" r:id="rId3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39.2</w:t>
        </w:r>
      </w:hyperlink>
      <w:r>
        <w:rPr>
          <w:sz w:val="20"/>
        </w:rPr>
        <w:t xml:space="preserve"> Земельного кодекса Российской Федерации, о предоставлении земельного участка.</w:t>
      </w:r>
    </w:p>
    <w:p>
      <w:pPr>
        <w:pStyle w:val="0"/>
        <w:spacing w:before="200" w:line-rule="auto"/>
        <w:ind w:firstLine="540"/>
        <w:jc w:val="both"/>
      </w:pPr>
      <w:r>
        <w:rPr>
          <w:sz w:val="20"/>
        </w:rPr>
        <w:t xml:space="preserve">2.7.2. Документы, указанные в </w:t>
      </w:r>
      <w:hyperlink w:history="0" w:anchor="P195" w:tooltip="2.7.1. Заявитель вправе представить в Уполномоченный орган:">
        <w:r>
          <w:rPr>
            <w:sz w:val="20"/>
            <w:color w:val="0000ff"/>
          </w:rPr>
          <w:t xml:space="preserve">подпункте 2.7.1</w:t>
        </w:r>
      </w:hyperlink>
      <w:r>
        <w:rPr>
          <w:sz w:val="20"/>
        </w:rPr>
        <w:t xml:space="preserve"> настоящего административного регламента, могут быть представлены заявителем следующими способами:</w:t>
      </w:r>
    </w:p>
    <w:p>
      <w:pPr>
        <w:pStyle w:val="0"/>
        <w:spacing w:before="200" w:line-rule="auto"/>
        <w:ind w:firstLine="540"/>
        <w:jc w:val="both"/>
      </w:pPr>
      <w:r>
        <w:rPr>
          <w:sz w:val="20"/>
        </w:rPr>
        <w:t xml:space="preserve">путем личного обращения в Уполномоченный орган или в МФЦ лично либо через своих представителей;</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посредством Регионального портала.</w:t>
      </w:r>
    </w:p>
    <w:p>
      <w:pPr>
        <w:pStyle w:val="0"/>
        <w:spacing w:before="200" w:line-rule="auto"/>
        <w:ind w:firstLine="540"/>
        <w:jc w:val="both"/>
      </w:pPr>
      <w:r>
        <w:rPr>
          <w:sz w:val="20"/>
        </w:rPr>
        <w:t xml:space="preserve">2.7.3. Документы, указанные в </w:t>
      </w:r>
      <w:hyperlink w:history="0" w:anchor="P195" w:tooltip="2.7.1. Заявитель вправе представить в Уполномоченный орган:">
        <w:r>
          <w:rPr>
            <w:sz w:val="20"/>
            <w:color w:val="0000ff"/>
          </w:rPr>
          <w:t xml:space="preserve">подпункте 2.7.1</w:t>
        </w:r>
      </w:hyperlink>
      <w:r>
        <w:rPr>
          <w:sz w:val="20"/>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spacing w:before="200" w:line-rule="auto"/>
        <w:ind w:firstLine="540"/>
        <w:jc w:val="both"/>
      </w:pPr>
      <w:r>
        <w:rPr>
          <w:sz w:val="20"/>
        </w:rPr>
        <w:t xml:space="preserve">2.7.4. Документы, указанные в </w:t>
      </w:r>
      <w:hyperlink w:history="0" w:anchor="P195" w:tooltip="2.7.1. Заявитель вправе представить в Уполномоченный орган:">
        <w:r>
          <w:rPr>
            <w:sz w:val="20"/>
            <w:color w:val="0000ff"/>
          </w:rPr>
          <w:t xml:space="preserve">подпункте 2.7.1</w:t>
        </w:r>
      </w:hyperlink>
      <w:r>
        <w:rPr>
          <w:sz w:val="20"/>
        </w:rPr>
        <w:t xml:space="preserve"> настоящего административного регламента (их копии, сведения, содержащиеся в них), запрашиваются в государственных органах и (или) в органах местного самоуправления и (или) подведомственных государственным органам организациям, органам местного самоуправления, в распоряжении которых находятся указанные документы.</w:t>
      </w:r>
    </w:p>
    <w:p>
      <w:pPr>
        <w:pStyle w:val="0"/>
        <w:spacing w:before="200" w:line-rule="auto"/>
        <w:ind w:firstLine="540"/>
        <w:jc w:val="both"/>
      </w:pPr>
      <w:r>
        <w:rPr>
          <w:sz w:val="20"/>
        </w:rPr>
        <w:t xml:space="preserve">2.7.5.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Вологодской области и муниципальными правовыми актами;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3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Закона N 210-ФЗ.</w:t>
      </w:r>
    </w:p>
    <w:bookmarkStart w:id="210" w:name="P210"/>
    <w:bookmarkEnd w:id="210"/>
    <w:p>
      <w:pPr>
        <w:pStyle w:val="0"/>
        <w:spacing w:before="200" w:line-rule="auto"/>
        <w:ind w:firstLine="540"/>
        <w:jc w:val="both"/>
      </w:pPr>
      <w:r>
        <w:rPr>
          <w:sz w:val="20"/>
        </w:rPr>
        <w:t xml:space="preserve">2.8. Исчерпывающий перечень оснований для отказа в приеме заявления и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Основанием для отказа в приеме документов является несоблюдение требований к предоставлению и оформлению заявления и прилагаемых документов, установленных </w:t>
      </w:r>
      <w:hyperlink w:history="0" w:anchor="P153" w:tooltip="2.6.1. Для предоставления муниципальной услуги заявитель представляет (направляет):">
        <w:r>
          <w:rPr>
            <w:sz w:val="20"/>
            <w:color w:val="0000ff"/>
          </w:rPr>
          <w:t xml:space="preserve">подпунктами 2.6.1</w:t>
        </w:r>
      </w:hyperlink>
      <w:r>
        <w:rPr>
          <w:sz w:val="20"/>
        </w:rPr>
        <w:t xml:space="preserve">, </w:t>
      </w:r>
      <w:hyperlink w:history="0" w:anchor="P185" w:tooltip="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
        <w:r>
          <w:rPr>
            <w:sz w:val="20"/>
            <w:color w:val="0000ff"/>
          </w:rPr>
          <w:t xml:space="preserve">2.6.3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2.9.1. Основания для приостановления предоставления муниципальной услуги законодательством не предусмотрены.</w:t>
      </w:r>
    </w:p>
    <w:p>
      <w:pPr>
        <w:pStyle w:val="0"/>
        <w:spacing w:before="200" w:line-rule="auto"/>
        <w:ind w:firstLine="540"/>
        <w:jc w:val="both"/>
      </w:pPr>
      <w:r>
        <w:rPr>
          <w:sz w:val="20"/>
        </w:rPr>
        <w:t xml:space="preserve">2.9.2. Основания для отказа в предоставлении муниципальной услуги отсутствуют.</w:t>
      </w:r>
    </w:p>
    <w:p>
      <w:pPr>
        <w:pStyle w:val="0"/>
        <w:spacing w:before="200" w:line-rule="auto"/>
        <w:ind w:firstLine="540"/>
        <w:jc w:val="both"/>
      </w:pPr>
      <w:r>
        <w:rPr>
          <w:sz w:val="20"/>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0"/>
        <w:spacing w:before="200" w:line-rule="auto"/>
        <w:ind w:firstLine="540"/>
        <w:jc w:val="both"/>
      </w:pPr>
      <w:r>
        <w:rPr>
          <w:sz w:val="20"/>
        </w:rPr>
        <w:t xml:space="preserve">Услуг, которые являются необходимыми и обязательными для предоставления муниципальной услуги, не имеется.</w:t>
      </w:r>
    </w:p>
    <w:p>
      <w:pPr>
        <w:pStyle w:val="0"/>
        <w:spacing w:before="200" w:line-rule="auto"/>
        <w:ind w:firstLine="540"/>
        <w:jc w:val="both"/>
      </w:pPr>
      <w:r>
        <w:rPr>
          <w:sz w:val="20"/>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0"/>
        <w:spacing w:before="200" w:line-rule="auto"/>
        <w:ind w:firstLine="540"/>
        <w:jc w:val="both"/>
      </w:pPr>
      <w:r>
        <w:rPr>
          <w:sz w:val="20"/>
        </w:rPr>
        <w:t xml:space="preserve">Предоставление муниципальной услуги осуществляется для заявителей на безвозмездной основе.</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заявления и (или) при получении результата не должен превышать 15 минут.</w:t>
      </w:r>
    </w:p>
    <w:p>
      <w:pPr>
        <w:pStyle w:val="0"/>
        <w:spacing w:before="200" w:line-rule="auto"/>
        <w:ind w:firstLine="540"/>
        <w:jc w:val="both"/>
      </w:pPr>
      <w:r>
        <w:rPr>
          <w:sz w:val="20"/>
        </w:rPr>
        <w:t xml:space="preserve">2.13. Срок регистрации запроса заявителя о предоставлении муниципальной услуги, в том числе в электронной форме</w:t>
      </w:r>
    </w:p>
    <w:p>
      <w:pPr>
        <w:pStyle w:val="0"/>
        <w:spacing w:before="200" w:line-rule="auto"/>
        <w:ind w:firstLine="540"/>
        <w:jc w:val="both"/>
      </w:pPr>
      <w:r>
        <w:rPr>
          <w:sz w:val="20"/>
        </w:rPr>
        <w:t xml:space="preserve">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2.14.1. Центральный вход в здание Уполномоченного органа, в котором предоставляется муниципальная услуга, должен быть оборудован вывеской, содержащей информацию о наименовании и режиме работы Уполномоченного органа.</w:t>
      </w:r>
    </w:p>
    <w:p>
      <w:pPr>
        <w:pStyle w:val="0"/>
        <w:spacing w:before="200" w:line-rule="auto"/>
        <w:ind w:firstLine="540"/>
        <w:jc w:val="both"/>
      </w:pPr>
      <w:r>
        <w:rPr>
          <w:sz w:val="20"/>
        </w:rPr>
        <w:t xml:space="preserve">Вход в здание, в котором предоставляется муниципальная услуга, должен быть оборудован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0"/>
        <w:spacing w:before="200" w:line-rule="auto"/>
        <w:ind w:firstLine="540"/>
        <w:jc w:val="both"/>
      </w:pPr>
      <w:r>
        <w:rPr>
          <w:sz w:val="20"/>
        </w:rPr>
        <w:t xml:space="preserve">2.14.2. Гражданам, относящимся к категории инвалидов, включая инвалидов, использующих кресла-коляски и собак-проводников, должны быть обеспечены:</w:t>
      </w:r>
    </w:p>
    <w:p>
      <w:pPr>
        <w:pStyle w:val="0"/>
        <w:spacing w:before="200" w:line-rule="auto"/>
        <w:ind w:firstLine="540"/>
        <w:jc w:val="both"/>
      </w:pPr>
      <w:r>
        <w:rPr>
          <w:sz w:val="20"/>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0"/>
        <w:spacing w:before="200" w:line-rule="auto"/>
        <w:ind w:firstLine="540"/>
        <w:jc w:val="both"/>
      </w:pPr>
      <w:r>
        <w:rPr>
          <w:sz w:val="20"/>
        </w:rPr>
        <w:t xml:space="preserve">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0"/>
        <w:spacing w:before="200" w:line-rule="auto"/>
        <w:ind w:firstLine="540"/>
        <w:jc w:val="both"/>
      </w:pPr>
      <w:r>
        <w:rPr>
          <w:sz w:val="20"/>
        </w:rPr>
        <w:t xml:space="preserve">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w:history="0" r:id="rId40"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41"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 приказом Министерства труда и социальной защиты Российской Федерации от 22 июня 2015 года N 386н;</w:t>
      </w:r>
    </w:p>
    <w:p>
      <w:pPr>
        <w:pStyle w:val="0"/>
        <w:spacing w:before="200" w:line-rule="auto"/>
        <w:ind w:firstLine="540"/>
        <w:jc w:val="both"/>
      </w:pPr>
      <w:r>
        <w:rPr>
          <w:sz w:val="20"/>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0"/>
        <w:spacing w:before="200" w:line-rule="auto"/>
        <w:ind w:firstLine="540"/>
        <w:jc w:val="both"/>
      </w:pPr>
      <w:r>
        <w:rPr>
          <w:sz w:val="20"/>
        </w:rPr>
        <w:t xml:space="preserve">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0"/>
        <w:spacing w:before="200" w:line-rule="auto"/>
        <w:ind w:firstLine="540"/>
        <w:jc w:val="both"/>
      </w:pPr>
      <w:r>
        <w:rPr>
          <w:sz w:val="20"/>
        </w:rPr>
        <w:t xml:space="preserve">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2.14.3. На территории, прилегающей к зданию, в котором предоставляется муниципальная услуга, должны быть организованы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0"/>
        <w:spacing w:before="200" w:line-rule="auto"/>
        <w:ind w:firstLine="540"/>
        <w:jc w:val="both"/>
      </w:pPr>
      <w:r>
        <w:rPr>
          <w:sz w:val="20"/>
        </w:rPr>
        <w:t xml:space="preserve">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Уполномоченного органа на видном месте должны быть установлены схемы размещения средств пожаротушения и путей эвакуации.</w:t>
      </w:r>
    </w:p>
    <w:p>
      <w:pPr>
        <w:pStyle w:val="0"/>
        <w:spacing w:before="200" w:line-rule="auto"/>
        <w:ind w:firstLine="540"/>
        <w:jc w:val="both"/>
      </w:pPr>
      <w:r>
        <w:rPr>
          <w:sz w:val="20"/>
        </w:rPr>
        <w:t xml:space="preserve">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0"/>
        <w:spacing w:before="200" w:line-rule="auto"/>
        <w:ind w:firstLine="540"/>
        <w:jc w:val="both"/>
      </w:pPr>
      <w:r>
        <w:rPr>
          <w:sz w:val="20"/>
        </w:rPr>
        <w:t xml:space="preserve">Места информирования, предназначенные для ознакомления заинтересованных лиц с информационными материалами, должны быть оборудованы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0"/>
        <w:spacing w:before="200" w:line-rule="auto"/>
        <w:ind w:firstLine="540"/>
        <w:jc w:val="both"/>
      </w:pPr>
      <w:r>
        <w:rPr>
          <w:sz w:val="20"/>
        </w:rPr>
        <w:t xml:space="preserve">Административный регламент, муниципальный правовой акт о его утверждении должны быть доступны для ознакомления на бумажных носителях.</w:t>
      </w:r>
    </w:p>
    <w:p>
      <w:pPr>
        <w:pStyle w:val="0"/>
        <w:spacing w:before="200" w:line-rule="auto"/>
        <w:ind w:firstLine="540"/>
        <w:jc w:val="both"/>
      </w:pPr>
      <w:r>
        <w:rPr>
          <w:sz w:val="20"/>
        </w:rPr>
        <w:t xml:space="preserve">Кабинеты, в которых осуществляется прием заявителей, должны быть оборудованы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2.15. Показатели доступности и качества муниципальной услуги</w:t>
      </w:r>
    </w:p>
    <w:p>
      <w:pPr>
        <w:pStyle w:val="0"/>
        <w:spacing w:before="200" w:line-rule="auto"/>
        <w:ind w:firstLine="540"/>
        <w:jc w:val="both"/>
      </w:pPr>
      <w:r>
        <w:rPr>
          <w:sz w:val="20"/>
        </w:rPr>
        <w:t xml:space="preserve">2.15.1.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2.15.2. Показателями качества муниципальной услуги являются:</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Региональном портале.</w:t>
      </w:r>
    </w:p>
    <w:p>
      <w:pPr>
        <w:pStyle w:val="0"/>
        <w:spacing w:before="200" w:line-rule="auto"/>
        <w:ind w:firstLine="540"/>
        <w:jc w:val="both"/>
      </w:pPr>
      <w:r>
        <w:rPr>
          <w:sz w:val="20"/>
        </w:rPr>
        <w:t xml:space="preserve">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С учетом </w:t>
      </w:r>
      <w:hyperlink w:history="0" r:id="rId42"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 (действий)</w:t>
      </w:r>
    </w:p>
    <w:p>
      <w:pPr>
        <w:pStyle w:val="0"/>
      </w:pPr>
      <w:r>
        <w:rPr>
          <w:sz w:val="20"/>
        </w:rPr>
      </w:r>
    </w:p>
    <w:p>
      <w:pPr>
        <w:pStyle w:val="0"/>
        <w:ind w:firstLine="540"/>
        <w:jc w:val="both"/>
      </w:pPr>
      <w:r>
        <w:rPr>
          <w:sz w:val="20"/>
        </w:rPr>
        <w:t xml:space="preserve">3.1. Исчерпывающий перечень административных процедур</w:t>
      </w:r>
    </w:p>
    <w:p>
      <w:pPr>
        <w:pStyle w:val="0"/>
        <w:spacing w:before="200" w:line-rule="auto"/>
        <w:ind w:firstLine="540"/>
        <w:jc w:val="both"/>
      </w:pPr>
      <w:r>
        <w:rPr>
          <w:sz w:val="20"/>
        </w:rPr>
        <w:t xml:space="preserve">3.1.1.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заявления о предоставлении муниципальной услуги;</w:t>
      </w:r>
    </w:p>
    <w:p>
      <w:pPr>
        <w:pStyle w:val="0"/>
        <w:spacing w:before="200" w:line-rule="auto"/>
        <w:ind w:firstLine="540"/>
        <w:jc w:val="both"/>
      </w:pPr>
      <w:r>
        <w:rPr>
          <w:sz w:val="20"/>
        </w:rPr>
        <w:t xml:space="preserve">рассмотрение заявления и представленных документов;</w:t>
      </w:r>
    </w:p>
    <w:p>
      <w:pPr>
        <w:pStyle w:val="0"/>
        <w:spacing w:before="200" w:line-rule="auto"/>
        <w:ind w:firstLine="540"/>
        <w:jc w:val="both"/>
      </w:pPr>
      <w:r>
        <w:rPr>
          <w:sz w:val="20"/>
        </w:rPr>
        <w:t xml:space="preserve">подготовка и выдача (направление) заявителю (заявителям) решения о прекращении права постоянного (бессрочного) пользования или пожизненного наследуемого владения земельным участком.</w:t>
      </w:r>
    </w:p>
    <w:p>
      <w:pPr>
        <w:pStyle w:val="0"/>
        <w:spacing w:before="200" w:line-rule="auto"/>
        <w:ind w:firstLine="540"/>
        <w:jc w:val="both"/>
      </w:pPr>
      <w:r>
        <w:rPr>
          <w:sz w:val="20"/>
        </w:rPr>
        <w:t xml:space="preserve">3.2. Прием и регистрация заявления и прилагаемых документов о предоставлении муниципальной услуги</w:t>
      </w:r>
    </w:p>
    <w:p>
      <w:pPr>
        <w:pStyle w:val="0"/>
        <w:spacing w:before="200" w:line-rule="auto"/>
        <w:ind w:firstLine="540"/>
        <w:jc w:val="both"/>
      </w:pPr>
      <w:r>
        <w:rPr>
          <w:sz w:val="20"/>
        </w:rPr>
        <w:t xml:space="preserve">3.2.1. Основанием для начала административной процедуры является поступление в Уполномоченный орган, в том числе через МФЦ, заявления и прилагаемых к нему документов.</w:t>
      </w:r>
    </w:p>
    <w:p>
      <w:pPr>
        <w:pStyle w:val="0"/>
        <w:spacing w:before="200" w:line-rule="auto"/>
        <w:ind w:firstLine="540"/>
        <w:jc w:val="both"/>
      </w:pPr>
      <w:r>
        <w:rPr>
          <w:sz w:val="20"/>
        </w:rPr>
        <w:t xml:space="preserve">3.2.2. В случае предоставления заявления и приложенных к нему документов в Уполномоченный орган на бумажном носителе при личном обращении заявителя специалист Уполномоченного органа, ответственный за прием и регистрацию документов:</w:t>
      </w:r>
    </w:p>
    <w:p>
      <w:pPr>
        <w:pStyle w:val="0"/>
        <w:spacing w:before="200" w:line-rule="auto"/>
        <w:ind w:firstLine="540"/>
        <w:jc w:val="both"/>
      </w:pPr>
      <w:r>
        <w:rPr>
          <w:sz w:val="20"/>
        </w:rPr>
        <w:t xml:space="preserve">проверяет надлежащее оформление заявления о предоставлении муниципальной услуги;</w:t>
      </w:r>
    </w:p>
    <w:p>
      <w:pPr>
        <w:pStyle w:val="0"/>
        <w:spacing w:before="200" w:line-rule="auto"/>
        <w:ind w:firstLine="540"/>
        <w:jc w:val="both"/>
      </w:pPr>
      <w:r>
        <w:rPr>
          <w:sz w:val="20"/>
        </w:rPr>
        <w:t xml:space="preserve">проверяет наличие представленных заявителем документов;</w:t>
      </w:r>
    </w:p>
    <w:p>
      <w:pPr>
        <w:pStyle w:val="0"/>
        <w:spacing w:before="200" w:line-rule="auto"/>
        <w:ind w:firstLine="540"/>
        <w:jc w:val="both"/>
      </w:pPr>
      <w:r>
        <w:rPr>
          <w:sz w:val="20"/>
        </w:rPr>
        <w:t xml:space="preserve">осуществляет регистрацию заявления;</w:t>
      </w:r>
    </w:p>
    <w:p>
      <w:pPr>
        <w:pStyle w:val="0"/>
        <w:spacing w:before="200" w:line-rule="auto"/>
        <w:ind w:firstLine="540"/>
        <w:jc w:val="both"/>
      </w:pPr>
      <w:r>
        <w:rPr>
          <w:sz w:val="20"/>
        </w:rPr>
        <w:t xml:space="preserve">заверяет копии документов (в случае, если заявителем представлены копии документов) при наличии оригиналов.</w:t>
      </w:r>
    </w:p>
    <w:p>
      <w:pPr>
        <w:pStyle w:val="0"/>
        <w:spacing w:before="200" w:line-rule="auto"/>
        <w:ind w:firstLine="540"/>
        <w:jc w:val="both"/>
      </w:pPr>
      <w:r>
        <w:rPr>
          <w:sz w:val="20"/>
        </w:rPr>
        <w:t xml:space="preserve">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pPr>
        <w:pStyle w:val="0"/>
        <w:spacing w:before="200" w:line-rule="auto"/>
        <w:ind w:firstLine="540"/>
        <w:jc w:val="both"/>
      </w:pPr>
      <w:r>
        <w:rPr>
          <w:sz w:val="20"/>
        </w:rPr>
        <w:t xml:space="preserve">При личном обращении заявитель предварительно имеет право получить консультацию относительно порядка представления и правильности оформления заявления.</w:t>
      </w:r>
    </w:p>
    <w:p>
      <w:pPr>
        <w:pStyle w:val="0"/>
        <w:spacing w:before="200" w:line-rule="auto"/>
        <w:ind w:firstLine="540"/>
        <w:jc w:val="both"/>
      </w:pPr>
      <w:r>
        <w:rPr>
          <w:sz w:val="20"/>
        </w:rPr>
        <w:t xml:space="preserve">3.2.3. При установлении факта отсутствия документов, обязанность по представлению которых возложена на заявителя в соответствии с требованиями настоящего административного регламента, и (или) несоответствия представленных документов требованиям, установленным настоящим административным регламентом, действующим законодательством, специалист Уполномоченного органа, ответственный за прием и регистрацию документов,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
    <w:p>
      <w:pPr>
        <w:pStyle w:val="0"/>
        <w:spacing w:before="200" w:line-rule="auto"/>
        <w:ind w:firstLine="540"/>
        <w:jc w:val="both"/>
      </w:pPr>
      <w:r>
        <w:rPr>
          <w:sz w:val="20"/>
        </w:rPr>
        <w:t xml:space="preserve">3.2.4. В день регистрации заявления указанное заявление с приложенными документами специалист Уполномоченного органа, ответственный за делопроизводство, передает руководителю Уполномоченного органа.</w:t>
      </w:r>
    </w:p>
    <w:p>
      <w:pPr>
        <w:pStyle w:val="0"/>
        <w:spacing w:before="200" w:line-rule="auto"/>
        <w:ind w:firstLine="540"/>
        <w:jc w:val="both"/>
      </w:pPr>
      <w:r>
        <w:rPr>
          <w:sz w:val="20"/>
        </w:rPr>
        <w:t xml:space="preserve">3.2.5. Результатом выполнения административной процедуры является поступление заявления с приложенными к нему документами руководителю Уполномоченного органа или возврат заявления и приложенных документов заявителю.</w:t>
      </w:r>
    </w:p>
    <w:p>
      <w:pPr>
        <w:pStyle w:val="0"/>
        <w:spacing w:before="200" w:line-rule="auto"/>
        <w:ind w:firstLine="540"/>
        <w:jc w:val="both"/>
      </w:pPr>
      <w:r>
        <w:rPr>
          <w:sz w:val="20"/>
        </w:rPr>
        <w:t xml:space="preserve">3.2.6.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pPr>
        <w:pStyle w:val="0"/>
        <w:spacing w:before="200" w:line-rule="auto"/>
        <w:ind w:firstLine="540"/>
        <w:jc w:val="both"/>
      </w:pPr>
      <w:r>
        <w:rPr>
          <w:sz w:val="20"/>
        </w:rPr>
        <w:t xml:space="preserve">3.2.7. При установлении наличия оснований для отказа в приеме заявления, предусмотренных </w:t>
      </w:r>
      <w:hyperlink w:history="0" w:anchor="P210" w:tooltip="2.8. Исчерпывающий перечень оснований для отказа в приеме заявления и документов, необходимых для предоставления муниципальной услуги">
        <w:r>
          <w:rPr>
            <w:sz w:val="20"/>
            <w:color w:val="0000ff"/>
          </w:rPr>
          <w:t xml:space="preserve">пунктом 2.8</w:t>
        </w:r>
      </w:hyperlink>
      <w:r>
        <w:rPr>
          <w:sz w:val="20"/>
        </w:rPr>
        <w:t xml:space="preserve"> настоящего административного регламента, заявление подлежит возврату заявителю в день поступления заявления с указанием причин и направляется способом, позволяющим подтвердить факт возврата.</w:t>
      </w:r>
    </w:p>
    <w:p>
      <w:pPr>
        <w:pStyle w:val="0"/>
        <w:spacing w:before="200" w:line-rule="auto"/>
        <w:ind w:firstLine="540"/>
        <w:jc w:val="both"/>
      </w:pPr>
      <w:r>
        <w:rPr>
          <w:sz w:val="20"/>
        </w:rPr>
        <w:t xml:space="preserve">3.3. Рассмотрение заявления и прилагаемых документов</w:t>
      </w:r>
    </w:p>
    <w:p>
      <w:pPr>
        <w:pStyle w:val="0"/>
        <w:spacing w:before="200" w:line-rule="auto"/>
        <w:ind w:firstLine="540"/>
        <w:jc w:val="both"/>
      </w:pPr>
      <w:r>
        <w:rPr>
          <w:sz w:val="20"/>
        </w:rPr>
        <w:t xml:space="preserve">3.3.1. Основанием для начала административной процедуры является поступление заявления и приложенных к нему документов руководителю Уполномоченного органа.</w:t>
      </w:r>
    </w:p>
    <w:p>
      <w:pPr>
        <w:pStyle w:val="0"/>
        <w:spacing w:before="200" w:line-rule="auto"/>
        <w:ind w:firstLine="540"/>
        <w:jc w:val="both"/>
      </w:pPr>
      <w:r>
        <w:rPr>
          <w:sz w:val="20"/>
        </w:rPr>
        <w:t xml:space="preserve">3.3.2. Руководитель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путем наложения соответствующей визы на заявление.</w:t>
      </w:r>
    </w:p>
    <w:p>
      <w:pPr>
        <w:pStyle w:val="0"/>
        <w:spacing w:before="200" w:line-rule="auto"/>
        <w:ind w:firstLine="540"/>
        <w:jc w:val="both"/>
      </w:pPr>
      <w:r>
        <w:rPr>
          <w:sz w:val="20"/>
        </w:rPr>
        <w:t xml:space="preserve">3.3.3. В случае если указанные в </w:t>
      </w:r>
      <w:hyperlink w:history="0" w:anchor="P195" w:tooltip="2.7.1. Заявитель вправе представить в Уполномоченный орган:">
        <w:r>
          <w:rPr>
            <w:sz w:val="20"/>
            <w:color w:val="0000ff"/>
          </w:rPr>
          <w:t xml:space="preserve">подпункте 2.7.1 пункта 2.7</w:t>
        </w:r>
      </w:hyperlink>
      <w:r>
        <w:rPr>
          <w:sz w:val="20"/>
        </w:rPr>
        <w:t xml:space="preserve"> настоящего административного регламента документы заявителем не представлены, специалист, ответственный за предоставление муниципальной услуги, не позднее 5 рабочих дней со дня поступления зарегистрированного заявления формирует и направляет в государственные органы, органы местного самоуправления, территориальные государственные внебюджетные фонды либо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соответствующие документы (их копии или содержащиеся в них сведения) межведомственный запрос (запросы).</w:t>
      </w:r>
    </w:p>
    <w:p>
      <w:pPr>
        <w:pStyle w:val="0"/>
        <w:spacing w:before="200" w:line-rule="auto"/>
        <w:ind w:firstLine="540"/>
        <w:jc w:val="both"/>
      </w:pPr>
      <w:r>
        <w:rPr>
          <w:sz w:val="20"/>
        </w:rP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3.3.4. По результатам рассмотрения заявления и приложенных документов, включая поступившие на запросы уполномоченного органа ответы и документы, специалист, ответственный за предоставление муниципальной услуги, осуществляет подготовку проекта решения о прекращении права постоянного (бессрочного) пользования или пожизненного наследуемого владения земельным участком в форме проекта муниципального правового акта по вопросам компетенции Администрации города Вологды (далее - распоряжение).</w:t>
      </w:r>
    </w:p>
    <w:p>
      <w:pPr>
        <w:pStyle w:val="0"/>
        <w:spacing w:before="200" w:line-rule="auto"/>
        <w:ind w:firstLine="540"/>
        <w:jc w:val="both"/>
      </w:pPr>
      <w:r>
        <w:rPr>
          <w:sz w:val="20"/>
        </w:rPr>
        <w:t xml:space="preserve">3.3.5. Срок выполнения данной процедуры составляет 30 календарных дней с даты поступления заявления и прилагаемых документов в Уполномоченный орган.</w:t>
      </w:r>
    </w:p>
    <w:p>
      <w:pPr>
        <w:pStyle w:val="0"/>
        <w:spacing w:before="200" w:line-rule="auto"/>
        <w:ind w:firstLine="540"/>
        <w:jc w:val="both"/>
      </w:pPr>
      <w:r>
        <w:rPr>
          <w:sz w:val="20"/>
        </w:rPr>
        <w:t xml:space="preserve">3.3.6. Результатом выполнения административной процедуры является принятие распоряжения о прекращении права постоянного (бессрочного) пользования или права пожизненного наследуемого владения.</w:t>
      </w:r>
    </w:p>
    <w:p>
      <w:pPr>
        <w:pStyle w:val="0"/>
        <w:spacing w:before="200" w:line-rule="auto"/>
        <w:ind w:firstLine="540"/>
        <w:jc w:val="both"/>
      </w:pPr>
      <w:r>
        <w:rPr>
          <w:sz w:val="20"/>
        </w:rPr>
        <w:t xml:space="preserve">3.4. Подготовка и выдача (направление) заявителю (заявителям) решения о прекращении права постоянного (бессрочного) пользования земельным участком или пожизненного наследуемого владения земельным участком</w:t>
      </w:r>
    </w:p>
    <w:p>
      <w:pPr>
        <w:pStyle w:val="0"/>
        <w:spacing w:before="200" w:line-rule="auto"/>
        <w:ind w:firstLine="540"/>
        <w:jc w:val="both"/>
      </w:pPr>
      <w:r>
        <w:rPr>
          <w:sz w:val="20"/>
        </w:rPr>
        <w:t xml:space="preserve">3.4.1. 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подписанных руководителем Уполномоченного органа экземпляров распоряжения о прекращении права постоянного (бессрочного) пользования или права пожизненного наследуемого владения земельным участком.</w:t>
      </w:r>
    </w:p>
    <w:p>
      <w:pPr>
        <w:pStyle w:val="0"/>
        <w:spacing w:before="200" w:line-rule="auto"/>
        <w:ind w:firstLine="540"/>
        <w:jc w:val="both"/>
      </w:pPr>
      <w:r>
        <w:rPr>
          <w:sz w:val="20"/>
        </w:rPr>
        <w:t xml:space="preserve">3.4.2. Специалист, ответственный за делопроизводство, обеспечивает направление (вручение) заявителю копии распоряжения о прекращении права постоянного (бессрочного) пользования или права пожизненного наследуемого владения земельным участком:</w:t>
      </w:r>
    </w:p>
    <w:p>
      <w:pPr>
        <w:pStyle w:val="0"/>
        <w:spacing w:before="200" w:line-rule="auto"/>
        <w:ind w:firstLine="540"/>
        <w:jc w:val="both"/>
      </w:pPr>
      <w:r>
        <w:rPr>
          <w:sz w:val="20"/>
        </w:rPr>
        <w:t xml:space="preserve">а) путем направления по почте в адрес заявителя заказным письмом с уведомлением о вручении;</w:t>
      </w:r>
    </w:p>
    <w:p>
      <w:pPr>
        <w:pStyle w:val="0"/>
        <w:spacing w:before="200" w:line-rule="auto"/>
        <w:ind w:firstLine="540"/>
        <w:jc w:val="both"/>
      </w:pPr>
      <w:r>
        <w:rPr>
          <w:sz w:val="20"/>
        </w:rPr>
        <w:t xml:space="preserve">б) путем вручения лично заявителю или его уполномоченному лицу по доверенности;</w:t>
      </w:r>
    </w:p>
    <w:p>
      <w:pPr>
        <w:pStyle w:val="0"/>
        <w:spacing w:before="200" w:line-rule="auto"/>
        <w:ind w:firstLine="540"/>
        <w:jc w:val="both"/>
      </w:pPr>
      <w:r>
        <w:rPr>
          <w:sz w:val="20"/>
        </w:rPr>
        <w:t xml:space="preserve">в) в форме электронного документа по адресу электронной почты, указанному в заявлении, поступившем в форме электронного документа на официальную электронную почту Уполномоченного органа.</w:t>
      </w:r>
    </w:p>
    <w:p>
      <w:pPr>
        <w:pStyle w:val="0"/>
        <w:spacing w:before="200" w:line-rule="auto"/>
        <w:ind w:firstLine="540"/>
        <w:jc w:val="both"/>
      </w:pPr>
      <w:r>
        <w:rPr>
          <w:sz w:val="20"/>
        </w:rPr>
        <w:t xml:space="preserve">3.4.3. В случае предоставления муниципальной услуги в электронной форме с использованием Регионального портала заявитель информируется специалистом, ответственным за предоставление муниципальной услуги, о принятом решении путем направления копии распоряжения о прекращении права постоянного (бессрочного) пользования или права пожизненного наследуемого владения в его личный кабинет на Региональном портале.</w:t>
      </w:r>
    </w:p>
    <w:p>
      <w:pPr>
        <w:pStyle w:val="0"/>
        <w:spacing w:before="200" w:line-rule="auto"/>
        <w:ind w:firstLine="540"/>
        <w:jc w:val="both"/>
      </w:pPr>
      <w:r>
        <w:rPr>
          <w:sz w:val="20"/>
        </w:rPr>
        <w:t xml:space="preserve">3.4.4. Срок выполнения данной административной процедуры составляет не более 3 календарных дней со дня принятия распоряжения о прекращении права постоянного (бессрочного) пользования или права пожизненного наследуемого владения на земельный участок.</w:t>
      </w:r>
    </w:p>
    <w:p>
      <w:pPr>
        <w:pStyle w:val="0"/>
        <w:spacing w:before="200" w:line-rule="auto"/>
        <w:ind w:firstLine="540"/>
        <w:jc w:val="both"/>
      </w:pPr>
      <w:r>
        <w:rPr>
          <w:sz w:val="20"/>
        </w:rPr>
        <w:t xml:space="preserve">3.4.5. Результатом выполнения данной административной процедуры является направление (вручение) заявителю копии распоряжения о прекращении права постоянного (бессрочного) пользования или права пожизненного наследуемого владения земельным участком.</w:t>
      </w:r>
    </w:p>
    <w:p>
      <w:pPr>
        <w:pStyle w:val="0"/>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pPr>
      <w:r>
        <w:rPr>
          <w:sz w:val="20"/>
        </w:rPr>
      </w:r>
    </w:p>
    <w:p>
      <w:pPr>
        <w:pStyle w:val="0"/>
        <w:ind w:firstLine="540"/>
        <w:jc w:val="both"/>
      </w:pPr>
      <w:r>
        <w:rPr>
          <w:sz w:val="20"/>
        </w:rPr>
        <w:t xml:space="preserve">4.1.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0"/>
        <w:spacing w:before="200" w:line-rule="auto"/>
        <w:ind w:firstLine="540"/>
        <w:jc w:val="both"/>
      </w:pPr>
      <w:r>
        <w:rPr>
          <w:sz w:val="20"/>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Уполномоченного органа. Текущий контроль осуществляется на постоянной основе.</w:t>
      </w:r>
    </w:p>
    <w:p>
      <w:pPr>
        <w:pStyle w:val="0"/>
        <w:spacing w:before="200" w:line-rule="auto"/>
        <w:ind w:firstLine="540"/>
        <w:jc w:val="both"/>
      </w:pPr>
      <w:r>
        <w:rPr>
          <w:sz w:val="20"/>
        </w:rPr>
        <w:t xml:space="preserve">4.3.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Проверки полноты и качества предоставления муниципальной услуги осуществляются на основании приказов Уполномоченного органа.</w:t>
      </w:r>
    </w:p>
    <w:p>
      <w:pPr>
        <w:pStyle w:val="0"/>
        <w:spacing w:before="200" w:line-rule="auto"/>
        <w:ind w:firstLine="540"/>
        <w:jc w:val="both"/>
      </w:pPr>
      <w:r>
        <w:rPr>
          <w:sz w:val="20"/>
        </w:rPr>
        <w:t xml:space="preserve">Проверки могут быть плановыми (осуществляется на основании полугодовых или годовых планов работы Уполномоченного органа) и внеплановыми.</w:t>
      </w:r>
    </w:p>
    <w:p>
      <w:pPr>
        <w:pStyle w:val="0"/>
        <w:spacing w:before="200" w:line-rule="auto"/>
        <w:ind w:firstLine="540"/>
        <w:jc w:val="both"/>
      </w:pPr>
      <w:r>
        <w:rPr>
          <w:sz w:val="20"/>
        </w:rPr>
        <w:t xml:space="preserve">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Внеплановые проверки осуществляются в соответствии с приказом руководителя Уполномоченного органа на основании информации о нарушении законодательства, регулирующего предоставление муниципальной услуги.</w:t>
      </w:r>
    </w:p>
    <w:p>
      <w:pPr>
        <w:pStyle w:val="0"/>
        <w:spacing w:before="200" w:line-rule="auto"/>
        <w:ind w:firstLine="540"/>
        <w:jc w:val="both"/>
      </w:pPr>
      <w:r>
        <w:rPr>
          <w:sz w:val="20"/>
        </w:rPr>
        <w:t xml:space="preserve">По результатам проведения проверки составляется справка о результатах проверки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По результатам проведенных проверок в случае выявления нарушений законодательства и настоящего административного регламента, за неисполнение, ненадлежащее исполнение возложенных обязанностей по исполнению муниципальной услуги осуществляется привлечение виновных должностных лиц и (или) работников МФЦ, специалистов, муниципальных служащих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w:t>
      </w:r>
      <w:hyperlink w:history="0" r:id="rId43"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44"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0"/>
        <w:spacing w:before="200" w:line-rule="auto"/>
        <w:ind w:firstLine="540"/>
        <w:jc w:val="both"/>
      </w:pPr>
      <w:r>
        <w:rPr>
          <w:sz w:val="20"/>
        </w:rP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4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Уполномоченного органа,</w:t>
      </w:r>
    </w:p>
    <w:p>
      <w:pPr>
        <w:pStyle w:val="2"/>
        <w:jc w:val="center"/>
      </w:pPr>
      <w:r>
        <w:rPr>
          <w:sz w:val="20"/>
        </w:rPr>
        <w:t xml:space="preserve">его должностных лиц либо муниципальных служащих,</w:t>
      </w:r>
    </w:p>
    <w:p>
      <w:pPr>
        <w:pStyle w:val="2"/>
        <w:jc w:val="center"/>
      </w:pPr>
      <w:r>
        <w:rPr>
          <w:sz w:val="20"/>
        </w:rPr>
        <w:t xml:space="preserve">МФЦ, его работников</w:t>
      </w:r>
    </w:p>
    <w:p>
      <w:pPr>
        <w:pStyle w:val="0"/>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w:t>
      </w:r>
    </w:p>
    <w:bookmarkStart w:id="325" w:name="P325"/>
    <w:bookmarkEnd w:id="325"/>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bookmarkStart w:id="328" w:name="P328"/>
    <w:bookmarkEnd w:id="328"/>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bookmarkStart w:id="330" w:name="P330"/>
    <w:bookmarkEnd w:id="330"/>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332" w:name="P332"/>
    <w:bookmarkEnd w:id="332"/>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bookmarkStart w:id="333" w:name="P333"/>
    <w:bookmarkEnd w:id="333"/>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В случаях, указанных в </w:t>
      </w:r>
      <w:hyperlink w:history="0" w:anchor="P325"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328"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330"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332"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333"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Интернет-сайта,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его работника может быть направлена по почте, с использованием сети "Интернет", сайта МФЦ,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Уполномоченного органа, муниципальных служащих - руководителю Уполномоченного органа, Мэру города Вологды;</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 должностному лицу, уполномоченному нормативным правовым актом Вологодской области.</w:t>
      </w:r>
    </w:p>
    <w:p>
      <w:pPr>
        <w:pStyle w:val="0"/>
        <w:spacing w:before="200" w:line-rule="auto"/>
        <w:ind w:firstLine="540"/>
        <w:jc w:val="both"/>
      </w:pPr>
      <w:r>
        <w:rPr>
          <w:sz w:val="20"/>
        </w:rPr>
        <w:t xml:space="preserve">5.5.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w:history="0" r:id="rId46"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"Об установлении особенностей рассмотрения жалоб на нарушение порядка предоставления муниципальных услуг в Администрации города Вологды"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355" w:name="P355"/>
    <w:bookmarkEnd w:id="355"/>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а также в иных формах;</w:t>
      </w:r>
    </w:p>
    <w:p>
      <w:pPr>
        <w:pStyle w:val="0"/>
        <w:spacing w:before="200" w:line-rule="auto"/>
        <w:ind w:firstLine="540"/>
        <w:jc w:val="both"/>
      </w:pPr>
      <w:r>
        <w:rPr>
          <w:sz w:val="20"/>
        </w:rPr>
        <w:t xml:space="preserve">в удовлетворении жалобы отказывается.</w:t>
      </w:r>
    </w:p>
    <w:bookmarkStart w:id="358" w:name="P358"/>
    <w:bookmarkEnd w:id="358"/>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355"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358"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358"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прекращению права постоянного</w:t>
      </w:r>
    </w:p>
    <w:p>
      <w:pPr>
        <w:pStyle w:val="0"/>
        <w:jc w:val="right"/>
      </w:pPr>
      <w:r>
        <w:rPr>
          <w:sz w:val="20"/>
        </w:rPr>
        <w:t xml:space="preserve">(бессрочного) пользования и пожизненного</w:t>
      </w:r>
    </w:p>
    <w:p>
      <w:pPr>
        <w:pStyle w:val="0"/>
        <w:jc w:val="right"/>
      </w:pPr>
      <w:r>
        <w:rPr>
          <w:sz w:val="20"/>
        </w:rPr>
        <w:t xml:space="preserve">наследуемого владения земельным участком</w:t>
      </w:r>
    </w:p>
    <w:p>
      <w:pPr>
        <w:pStyle w:val="0"/>
        <w:jc w:val="right"/>
      </w:pPr>
      <w:r>
        <w:rPr>
          <w:sz w:val="20"/>
        </w:rPr>
        <w:t xml:space="preserve">при отказе землепользователя, землевладельца</w:t>
      </w:r>
    </w:p>
    <w:p>
      <w:pPr>
        <w:pStyle w:val="0"/>
        <w:jc w:val="right"/>
      </w:pPr>
      <w:r>
        <w:rPr>
          <w:sz w:val="20"/>
        </w:rPr>
        <w:t xml:space="preserve">от принадлежащего им права на земельный участок</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4080"/>
        <w:gridCol w:w="4989"/>
      </w:tblGrid>
      <w:tr>
        <w:tblPrEx>
          <w:tblBorders>
            <w:insideH w:val="nil"/>
          </w:tblBorders>
        </w:tblPrEx>
        <w:tc>
          <w:tcPr>
            <w:tcW w:w="4080" w:type="dxa"/>
            <w:tcBorders>
              <w:top w:val="nil"/>
              <w:left w:val="nil"/>
              <w:bottom w:val="nil"/>
              <w:right w:val="nil"/>
            </w:tcBorders>
            <w:vMerge w:val="restart"/>
          </w:tcPr>
          <w:p>
            <w:pPr>
              <w:pStyle w:val="0"/>
            </w:pPr>
            <w:r>
              <w:rPr>
                <w:sz w:val="20"/>
              </w:rPr>
            </w:r>
          </w:p>
        </w:tc>
        <w:tc>
          <w:tcPr>
            <w:tcW w:w="4989" w:type="dxa"/>
            <w:tcBorders>
              <w:top w:val="nil"/>
              <w:left w:val="nil"/>
              <w:bottom w:val="nil"/>
              <w:right w:val="nil"/>
            </w:tcBorders>
          </w:tcPr>
          <w:p>
            <w:pPr>
              <w:pStyle w:val="0"/>
            </w:pPr>
            <w:r>
              <w:rPr>
                <w:sz w:val="20"/>
              </w:rPr>
              <w:t xml:space="preserve">В Департамент градостроительства</w:t>
            </w:r>
          </w:p>
          <w:p>
            <w:pPr>
              <w:pStyle w:val="0"/>
            </w:pPr>
            <w:r>
              <w:rPr>
                <w:sz w:val="20"/>
              </w:rPr>
              <w:t xml:space="preserve">Администрации города Вологды</w:t>
            </w:r>
          </w:p>
          <w:p>
            <w:pPr>
              <w:pStyle w:val="0"/>
            </w:pPr>
            <w:r>
              <w:rPr>
                <w:sz w:val="20"/>
              </w:rPr>
              <w:t xml:space="preserve">от</w:t>
            </w:r>
          </w:p>
        </w:tc>
      </w:tr>
      <w:tr>
        <w:tblPrEx>
          <w:tblBorders>
            <w:insideH w:val="nil"/>
          </w:tblBorders>
        </w:tblPrEx>
        <w:tc>
          <w:tcPr>
            <w:tcBorders>
              <w:top w:val="nil"/>
              <w:left w:val="nil"/>
              <w:bottom w:val="nil"/>
              <w:right w:val="nil"/>
            </w:tcBorders>
            <w:vMerge w:val="continue"/>
          </w:tcPr>
          <w:p/>
        </w:tc>
        <w:tc>
          <w:tcPr>
            <w:tcW w:w="4989"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4989" w:type="dxa"/>
            <w:tcBorders>
              <w:left w:val="nil"/>
              <w:right w:val="nil"/>
            </w:tcBorders>
          </w:tcPr>
          <w:p>
            <w:pPr>
              <w:pStyle w:val="0"/>
            </w:pPr>
            <w:r>
              <w:rPr>
                <w:sz w:val="20"/>
              </w:rPr>
            </w:r>
          </w:p>
        </w:tc>
      </w:tr>
      <w:tr>
        <w:tc>
          <w:tcPr>
            <w:tcBorders>
              <w:top w:val="nil"/>
              <w:left w:val="nil"/>
              <w:bottom w:val="nil"/>
              <w:right w:val="nil"/>
            </w:tcBorders>
            <w:vMerge w:val="continue"/>
          </w:tcPr>
          <w:p/>
        </w:tc>
        <w:tc>
          <w:tcPr>
            <w:tcW w:w="4989" w:type="dxa"/>
            <w:tcBorders>
              <w:left w:val="nil"/>
              <w:right w:val="nil"/>
            </w:tcBorders>
          </w:tcPr>
          <w:p>
            <w:pPr>
              <w:pStyle w:val="0"/>
            </w:pPr>
            <w:r>
              <w:rPr>
                <w:sz w:val="20"/>
              </w:rPr>
            </w:r>
          </w:p>
        </w:tc>
      </w:tr>
      <w:tr>
        <w:tc>
          <w:tcPr>
            <w:tcBorders>
              <w:top w:val="nil"/>
              <w:left w:val="nil"/>
              <w:bottom w:val="nil"/>
              <w:right w:val="nil"/>
            </w:tcBorders>
            <w:vMerge w:val="continue"/>
          </w:tcPr>
          <w:p/>
        </w:tc>
        <w:tc>
          <w:tcPr>
            <w:tcW w:w="4989" w:type="dxa"/>
            <w:tcBorders>
              <w:left w:val="nil"/>
              <w:right w:val="nil"/>
            </w:tcBorders>
          </w:tcPr>
          <w:p>
            <w:pPr>
              <w:pStyle w:val="0"/>
            </w:pPr>
            <w:r>
              <w:rPr>
                <w:sz w:val="20"/>
              </w:rPr>
            </w:r>
          </w:p>
        </w:tc>
      </w:tr>
      <w:tr>
        <w:tc>
          <w:tcPr>
            <w:tcBorders>
              <w:top w:val="nil"/>
              <w:left w:val="nil"/>
              <w:bottom w:val="nil"/>
              <w:right w:val="nil"/>
            </w:tcBorders>
            <w:vMerge w:val="continue"/>
          </w:tcPr>
          <w:p/>
        </w:tc>
        <w:tc>
          <w:tcPr>
            <w:tcW w:w="4989" w:type="dxa"/>
            <w:tcBorders>
              <w:left w:val="nil"/>
              <w:right w:val="nil"/>
            </w:tcBorders>
          </w:tcPr>
          <w:p>
            <w:pPr>
              <w:pStyle w:val="0"/>
            </w:pPr>
            <w:r>
              <w:rPr>
                <w:sz w:val="20"/>
              </w:rPr>
            </w:r>
          </w:p>
        </w:tc>
      </w:tr>
      <w:tr>
        <w:tc>
          <w:tcPr>
            <w:tcBorders>
              <w:top w:val="nil"/>
              <w:left w:val="nil"/>
              <w:bottom w:val="nil"/>
              <w:right w:val="nil"/>
            </w:tcBorders>
            <w:vMerge w:val="continue"/>
          </w:tcPr>
          <w:p/>
        </w:tc>
        <w:tc>
          <w:tcPr>
            <w:tcW w:w="4989" w:type="dxa"/>
            <w:tcBorders>
              <w:left w:val="nil"/>
              <w:right w:val="nil"/>
            </w:tcBorders>
          </w:tcPr>
          <w:p>
            <w:pPr>
              <w:pStyle w:val="0"/>
            </w:pPr>
            <w:r>
              <w:rPr>
                <w:sz w:val="20"/>
              </w:rPr>
            </w:r>
          </w:p>
        </w:tc>
      </w:tr>
      <w:tr>
        <w:tblPrEx>
          <w:tblBorders>
            <w:insideH w:val="nil"/>
          </w:tblBorders>
        </w:tblPrEx>
        <w:tc>
          <w:tcPr>
            <w:tcBorders>
              <w:top w:val="nil"/>
              <w:left w:val="nil"/>
              <w:bottom w:val="nil"/>
              <w:right w:val="nil"/>
            </w:tcBorders>
            <w:vMerge w:val="continue"/>
          </w:tcPr>
          <w:p/>
        </w:tc>
        <w:tc>
          <w:tcPr>
            <w:tcW w:w="4989" w:type="dxa"/>
            <w:tcBorders>
              <w:left w:val="nil"/>
              <w:bottom w:val="nil"/>
              <w:right w:val="nil"/>
            </w:tcBorders>
          </w:tcPr>
          <w:p>
            <w:pPr>
              <w:pStyle w:val="0"/>
            </w:pPr>
            <w:r>
              <w:rPr>
                <w:sz w:val="20"/>
              </w:rPr>
              <w:t xml:space="preserve">(для юридического лица указывается фирменное наименование, для физического лица указываются фамилия, имя, отчество (последнее - при наличии) заявителя; для лица, действующего по доверенности, - фамилия, имя, отчество (последнее - при наличии) лица, действующего на основании доверенности)</w:t>
            </w:r>
          </w:p>
        </w:tc>
      </w:tr>
      <w:tr>
        <w:tblPrEx>
          <w:tblBorders>
            <w:insideH w:val="nil"/>
          </w:tblBorders>
        </w:tblPrEx>
        <w:tc>
          <w:tcPr>
            <w:gridSpan w:val="2"/>
            <w:tcW w:w="9069" w:type="dxa"/>
            <w:tcBorders>
              <w:top w:val="nil"/>
              <w:left w:val="nil"/>
              <w:bottom w:val="nil"/>
              <w:right w:val="nil"/>
            </w:tcBorders>
          </w:tcPr>
          <w:p>
            <w:pPr>
              <w:pStyle w:val="0"/>
            </w:pPr>
            <w:r>
              <w:rPr>
                <w:sz w:val="20"/>
              </w:rPr>
            </w:r>
          </w:p>
        </w:tc>
      </w:tr>
      <w:tr>
        <w:tblPrEx>
          <w:tblBorders>
            <w:insideH w:val="nil"/>
          </w:tblBorders>
        </w:tblPrEx>
        <w:tc>
          <w:tcPr>
            <w:gridSpan w:val="2"/>
            <w:tcW w:w="9069" w:type="dxa"/>
            <w:tcBorders>
              <w:top w:val="nil"/>
              <w:left w:val="nil"/>
              <w:bottom w:val="nil"/>
              <w:right w:val="nil"/>
            </w:tcBorders>
          </w:tcPr>
          <w:bookmarkStart w:id="390" w:name="P390"/>
          <w:bookmarkEnd w:id="390"/>
          <w:p>
            <w:pPr>
              <w:pStyle w:val="0"/>
              <w:jc w:val="center"/>
            </w:pPr>
            <w:r>
              <w:rPr>
                <w:sz w:val="20"/>
              </w:rPr>
              <w:t xml:space="preserve">ЗАЯВЛЕНИЕ</w:t>
            </w:r>
          </w:p>
          <w:p>
            <w:pPr>
              <w:pStyle w:val="0"/>
              <w:jc w:val="center"/>
            </w:pPr>
            <w:r>
              <w:rPr>
                <w:sz w:val="20"/>
              </w:rPr>
              <w:t xml:space="preserve">об отказе от права постоянного (бессрочного) пользования</w:t>
            </w:r>
          </w:p>
          <w:p>
            <w:pPr>
              <w:pStyle w:val="0"/>
              <w:jc w:val="center"/>
            </w:pPr>
            <w:r>
              <w:rPr>
                <w:sz w:val="20"/>
              </w:rPr>
              <w:t xml:space="preserve">земельным участком (об отказе от права пожизненного</w:t>
            </w:r>
          </w:p>
          <w:p>
            <w:pPr>
              <w:pStyle w:val="0"/>
              <w:jc w:val="center"/>
            </w:pPr>
            <w:r>
              <w:rPr>
                <w:sz w:val="20"/>
              </w:rPr>
              <w:t xml:space="preserve">наследуемого владения земельным участком)</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9"/>
        <w:gridCol w:w="3572"/>
      </w:tblGrid>
      <w:tr>
        <w:tc>
          <w:tcPr>
            <w:gridSpan w:val="2"/>
            <w:tcW w:w="9071" w:type="dxa"/>
          </w:tcPr>
          <w:p>
            <w:pPr>
              <w:pStyle w:val="0"/>
              <w:jc w:val="center"/>
            </w:pPr>
            <w:r>
              <w:rPr>
                <w:sz w:val="20"/>
              </w:rPr>
              <w:t xml:space="preserve">Сведения о заявителе (физическое лицо)</w:t>
            </w:r>
          </w:p>
        </w:tc>
      </w:tr>
      <w:tr>
        <w:tc>
          <w:tcPr>
            <w:tcW w:w="5499" w:type="dxa"/>
          </w:tcPr>
          <w:p>
            <w:pPr>
              <w:pStyle w:val="0"/>
            </w:pPr>
            <w:r>
              <w:rPr>
                <w:sz w:val="20"/>
              </w:rPr>
              <w:t xml:space="preserve">Фамилия, имя, отчество (последнее - при наличии)</w:t>
            </w:r>
          </w:p>
        </w:tc>
        <w:tc>
          <w:tcPr>
            <w:tcW w:w="3572" w:type="dxa"/>
          </w:tcPr>
          <w:p>
            <w:pPr>
              <w:pStyle w:val="0"/>
            </w:pPr>
            <w:r>
              <w:rPr>
                <w:sz w:val="20"/>
              </w:rPr>
            </w:r>
          </w:p>
        </w:tc>
      </w:tr>
      <w:tr>
        <w:tc>
          <w:tcPr>
            <w:tcW w:w="5499" w:type="dxa"/>
          </w:tcPr>
          <w:p>
            <w:pPr>
              <w:pStyle w:val="0"/>
            </w:pPr>
            <w:r>
              <w:rPr>
                <w:sz w:val="20"/>
              </w:rPr>
              <w:t xml:space="preserve">Место жительства</w:t>
            </w:r>
          </w:p>
        </w:tc>
        <w:tc>
          <w:tcPr>
            <w:tcW w:w="3572" w:type="dxa"/>
          </w:tcPr>
          <w:p>
            <w:pPr>
              <w:pStyle w:val="0"/>
            </w:pPr>
            <w:r>
              <w:rPr>
                <w:sz w:val="20"/>
              </w:rPr>
            </w:r>
          </w:p>
        </w:tc>
      </w:tr>
      <w:tr>
        <w:tc>
          <w:tcPr>
            <w:tcW w:w="5499" w:type="dxa"/>
          </w:tcPr>
          <w:p>
            <w:pPr>
              <w:pStyle w:val="0"/>
            </w:pPr>
            <w:r>
              <w:rPr>
                <w:sz w:val="20"/>
              </w:rPr>
              <w:t xml:space="preserve">Данные документа, удостоверяющего личность</w:t>
            </w:r>
          </w:p>
        </w:tc>
        <w:tc>
          <w:tcPr>
            <w:tcW w:w="3572" w:type="dxa"/>
          </w:tcPr>
          <w:p>
            <w:pPr>
              <w:pStyle w:val="0"/>
            </w:pPr>
            <w:r>
              <w:rPr>
                <w:sz w:val="20"/>
              </w:rPr>
            </w:r>
          </w:p>
        </w:tc>
      </w:tr>
      <w:tr>
        <w:tc>
          <w:tcPr>
            <w:tcW w:w="5499" w:type="dxa"/>
          </w:tcPr>
          <w:p>
            <w:pPr>
              <w:pStyle w:val="0"/>
            </w:pPr>
            <w:r>
              <w:rPr>
                <w:sz w:val="20"/>
              </w:rPr>
              <w:t xml:space="preserve">ИНН - для гражданина</w:t>
            </w:r>
          </w:p>
        </w:tc>
        <w:tc>
          <w:tcPr>
            <w:tcW w:w="3572" w:type="dxa"/>
          </w:tcPr>
          <w:p>
            <w:pPr>
              <w:pStyle w:val="0"/>
            </w:pPr>
            <w:r>
              <w:rPr>
                <w:sz w:val="20"/>
              </w:rPr>
            </w:r>
          </w:p>
        </w:tc>
      </w:tr>
      <w:tr>
        <w:tc>
          <w:tcPr>
            <w:tcW w:w="5499" w:type="dxa"/>
          </w:tcPr>
          <w:p>
            <w:pPr>
              <w:pStyle w:val="0"/>
            </w:pPr>
            <w:r>
              <w:rPr>
                <w:sz w:val="20"/>
              </w:rPr>
              <w:t xml:space="preserve">Контактный телефон</w:t>
            </w:r>
          </w:p>
        </w:tc>
        <w:tc>
          <w:tcPr>
            <w:tcW w:w="3572" w:type="dxa"/>
          </w:tcPr>
          <w:p>
            <w:pPr>
              <w:pStyle w:val="0"/>
            </w:pPr>
            <w:r>
              <w:rPr>
                <w:sz w:val="20"/>
              </w:rPr>
            </w:r>
          </w:p>
        </w:tc>
      </w:tr>
      <w:tr>
        <w:tc>
          <w:tcPr>
            <w:tcW w:w="5499" w:type="dxa"/>
          </w:tcPr>
          <w:p>
            <w:pPr>
              <w:pStyle w:val="0"/>
            </w:pPr>
            <w:r>
              <w:rPr>
                <w:sz w:val="20"/>
              </w:rPr>
              <w:t xml:space="preserve">Почтовый адрес, адрес электронной почты (при наличии)</w:t>
            </w:r>
          </w:p>
        </w:tc>
        <w:tc>
          <w:tcPr>
            <w:tcW w:w="3572" w:type="dxa"/>
          </w:tcPr>
          <w:p>
            <w:pPr>
              <w:pStyle w:val="0"/>
            </w:pPr>
            <w:r>
              <w:rPr>
                <w:sz w:val="20"/>
              </w:rPr>
            </w:r>
          </w:p>
        </w:tc>
      </w:tr>
      <w:tr>
        <w:tc>
          <w:tcPr>
            <w:gridSpan w:val="2"/>
            <w:tcW w:w="9071" w:type="dxa"/>
          </w:tcPr>
          <w:p>
            <w:pPr>
              <w:pStyle w:val="0"/>
              <w:jc w:val="center"/>
            </w:pPr>
            <w:r>
              <w:rPr>
                <w:sz w:val="20"/>
              </w:rPr>
              <w:t xml:space="preserve">Сведения о заявителе (юридическое лицо)</w:t>
            </w:r>
          </w:p>
        </w:tc>
      </w:tr>
      <w:tr>
        <w:tc>
          <w:tcPr>
            <w:tcW w:w="5499" w:type="dxa"/>
          </w:tcPr>
          <w:p>
            <w:pPr>
              <w:pStyle w:val="0"/>
            </w:pPr>
            <w:r>
              <w:rPr>
                <w:sz w:val="20"/>
              </w:rPr>
              <w:t xml:space="preserve">Полное и сокращенное наименования</w:t>
            </w:r>
          </w:p>
        </w:tc>
        <w:tc>
          <w:tcPr>
            <w:tcW w:w="3572" w:type="dxa"/>
          </w:tcPr>
          <w:p>
            <w:pPr>
              <w:pStyle w:val="0"/>
            </w:pPr>
            <w:r>
              <w:rPr>
                <w:sz w:val="20"/>
              </w:rPr>
            </w:r>
          </w:p>
        </w:tc>
      </w:tr>
      <w:tr>
        <w:tc>
          <w:tcPr>
            <w:tcW w:w="5499" w:type="dxa"/>
          </w:tcPr>
          <w:p>
            <w:pPr>
              <w:pStyle w:val="0"/>
            </w:pPr>
            <w:r>
              <w:rPr>
                <w:sz w:val="20"/>
              </w:rPr>
              <w:t xml:space="preserve">Местонахождение</w:t>
            </w:r>
          </w:p>
        </w:tc>
        <w:tc>
          <w:tcPr>
            <w:tcW w:w="3572" w:type="dxa"/>
          </w:tcPr>
          <w:p>
            <w:pPr>
              <w:pStyle w:val="0"/>
            </w:pPr>
            <w:r>
              <w:rPr>
                <w:sz w:val="20"/>
              </w:rPr>
            </w:r>
          </w:p>
        </w:tc>
      </w:tr>
      <w:tr>
        <w:tc>
          <w:tcPr>
            <w:tcW w:w="5499" w:type="dxa"/>
          </w:tcPr>
          <w:p>
            <w:pPr>
              <w:pStyle w:val="0"/>
            </w:pPr>
            <w:r>
              <w:rPr>
                <w:sz w:val="20"/>
              </w:rPr>
              <w:t xml:space="preserve">ИНН</w:t>
            </w:r>
          </w:p>
        </w:tc>
        <w:tc>
          <w:tcPr>
            <w:tcW w:w="3572" w:type="dxa"/>
          </w:tcPr>
          <w:p>
            <w:pPr>
              <w:pStyle w:val="0"/>
            </w:pPr>
            <w:r>
              <w:rPr>
                <w:sz w:val="20"/>
              </w:rPr>
            </w:r>
          </w:p>
        </w:tc>
      </w:tr>
      <w:tr>
        <w:tc>
          <w:tcPr>
            <w:tcW w:w="5499" w:type="dxa"/>
          </w:tcPr>
          <w:p>
            <w:pPr>
              <w:pStyle w:val="0"/>
            </w:pPr>
            <w:r>
              <w:rPr>
                <w:sz w:val="20"/>
              </w:rPr>
              <w:t xml:space="preserve">ОГРН</w:t>
            </w:r>
          </w:p>
        </w:tc>
        <w:tc>
          <w:tcPr>
            <w:tcW w:w="3572" w:type="dxa"/>
          </w:tcPr>
          <w:p>
            <w:pPr>
              <w:pStyle w:val="0"/>
            </w:pPr>
            <w:r>
              <w:rPr>
                <w:sz w:val="20"/>
              </w:rPr>
            </w:r>
          </w:p>
        </w:tc>
      </w:tr>
      <w:tr>
        <w:tc>
          <w:tcPr>
            <w:tcW w:w="5499" w:type="dxa"/>
          </w:tcPr>
          <w:p>
            <w:pPr>
              <w:pStyle w:val="0"/>
            </w:pPr>
            <w:r>
              <w:rPr>
                <w:sz w:val="20"/>
              </w:rPr>
              <w:t xml:space="preserve">Фамилия, имя, отчество (последнее - при наличии) представителя организации, уполномоченного действовать без доверенности</w:t>
            </w:r>
          </w:p>
        </w:tc>
        <w:tc>
          <w:tcPr>
            <w:tcW w:w="3572" w:type="dxa"/>
          </w:tcPr>
          <w:p>
            <w:pPr>
              <w:pStyle w:val="0"/>
            </w:pPr>
            <w:r>
              <w:rPr>
                <w:sz w:val="20"/>
              </w:rPr>
            </w:r>
          </w:p>
        </w:tc>
      </w:tr>
      <w:tr>
        <w:tc>
          <w:tcPr>
            <w:tcW w:w="5499" w:type="dxa"/>
          </w:tcPr>
          <w:p>
            <w:pPr>
              <w:pStyle w:val="0"/>
            </w:pPr>
            <w:r>
              <w:rPr>
                <w:sz w:val="20"/>
              </w:rPr>
              <w:t xml:space="preserve">Должность представителя, уполномоченного действовать без доверенности</w:t>
            </w:r>
          </w:p>
        </w:tc>
        <w:tc>
          <w:tcPr>
            <w:tcW w:w="3572" w:type="dxa"/>
          </w:tcPr>
          <w:p>
            <w:pPr>
              <w:pStyle w:val="0"/>
            </w:pPr>
            <w:r>
              <w:rPr>
                <w:sz w:val="20"/>
              </w:rPr>
            </w:r>
          </w:p>
        </w:tc>
      </w:tr>
      <w:tr>
        <w:tc>
          <w:tcPr>
            <w:tcW w:w="5499" w:type="dxa"/>
          </w:tcPr>
          <w:p>
            <w:pPr>
              <w:pStyle w:val="0"/>
            </w:pPr>
            <w:r>
              <w:rPr>
                <w:sz w:val="20"/>
              </w:rPr>
              <w:t xml:space="preserve">Контактные телефоны</w:t>
            </w:r>
          </w:p>
        </w:tc>
        <w:tc>
          <w:tcPr>
            <w:tcW w:w="3572" w:type="dxa"/>
          </w:tcPr>
          <w:p>
            <w:pPr>
              <w:pStyle w:val="0"/>
            </w:pPr>
            <w:r>
              <w:rPr>
                <w:sz w:val="20"/>
              </w:rPr>
            </w:r>
          </w:p>
        </w:tc>
      </w:tr>
      <w:tr>
        <w:tc>
          <w:tcPr>
            <w:tcW w:w="5499" w:type="dxa"/>
          </w:tcPr>
          <w:p>
            <w:pPr>
              <w:pStyle w:val="0"/>
            </w:pPr>
            <w:r>
              <w:rPr>
                <w:sz w:val="20"/>
              </w:rPr>
              <w:t xml:space="preserve">Почтовый адрес, адрес электронной почты (при наличии)</w:t>
            </w:r>
          </w:p>
        </w:tc>
        <w:tc>
          <w:tcPr>
            <w:tcW w:w="3572" w:type="dxa"/>
          </w:tcPr>
          <w:p>
            <w:pPr>
              <w:pStyle w:val="0"/>
            </w:pPr>
            <w:r>
              <w:rPr>
                <w:sz w:val="20"/>
              </w:rPr>
            </w:r>
          </w:p>
        </w:tc>
      </w:tr>
      <w:tr>
        <w:tc>
          <w:tcPr>
            <w:gridSpan w:val="2"/>
            <w:tcW w:w="9071" w:type="dxa"/>
          </w:tcPr>
          <w:p>
            <w:pPr>
              <w:pStyle w:val="0"/>
            </w:pPr>
            <w:r>
              <w:rPr>
                <w:sz w:val="20"/>
              </w:rPr>
              <w:t xml:space="preserve">Для лица, действующего на основании документа, подтверждающего полномочия действовать от имени заявителя</w:t>
            </w:r>
          </w:p>
        </w:tc>
      </w:tr>
      <w:tr>
        <w:tc>
          <w:tcPr>
            <w:tcW w:w="5499" w:type="dxa"/>
          </w:tcPr>
          <w:p>
            <w:pPr>
              <w:pStyle w:val="0"/>
            </w:pPr>
            <w:r>
              <w:rPr>
                <w:sz w:val="20"/>
              </w:rPr>
              <w:t xml:space="preserve">Фамилия, имя, отчество (последнее - при наличии) лица, действующего от имени физического или юридического лица</w:t>
            </w:r>
          </w:p>
        </w:tc>
        <w:tc>
          <w:tcPr>
            <w:tcW w:w="3572" w:type="dxa"/>
          </w:tcPr>
          <w:p>
            <w:pPr>
              <w:pStyle w:val="0"/>
            </w:pPr>
            <w:r>
              <w:rPr>
                <w:sz w:val="20"/>
              </w:rPr>
            </w:r>
          </w:p>
        </w:tc>
      </w:tr>
      <w:tr>
        <w:tc>
          <w:tcPr>
            <w:tcW w:w="5499" w:type="dxa"/>
          </w:tcPr>
          <w:p>
            <w:pPr>
              <w:pStyle w:val="0"/>
            </w:pPr>
            <w:r>
              <w:rPr>
                <w:sz w:val="20"/>
              </w:rPr>
              <w:t xml:space="preserve">Данные документа, подтверждающего полномочия лица действовать от имени физического или юридического лица</w:t>
            </w:r>
          </w:p>
        </w:tc>
        <w:tc>
          <w:tcPr>
            <w:tcW w:w="3572" w:type="dxa"/>
          </w:tcPr>
          <w:p>
            <w:pPr>
              <w:pStyle w:val="0"/>
            </w:pPr>
            <w:r>
              <w:rPr>
                <w:sz w:val="20"/>
              </w:rPr>
            </w:r>
          </w:p>
        </w:tc>
      </w:tr>
      <w:tr>
        <w:tc>
          <w:tcPr>
            <w:tcW w:w="5499" w:type="dxa"/>
          </w:tcPr>
          <w:p>
            <w:pPr>
              <w:pStyle w:val="0"/>
            </w:pPr>
            <w:r>
              <w:rPr>
                <w:sz w:val="20"/>
              </w:rPr>
              <w:t xml:space="preserve">Контактные телефоны</w:t>
            </w:r>
          </w:p>
        </w:tc>
        <w:tc>
          <w:tcPr>
            <w:tcW w:w="3572" w:type="dxa"/>
          </w:tcPr>
          <w:p>
            <w:pPr>
              <w:pStyle w:val="0"/>
            </w:pPr>
            <w:r>
              <w:rPr>
                <w:sz w:val="20"/>
              </w:rPr>
            </w:r>
          </w:p>
        </w:tc>
      </w:tr>
      <w:tr>
        <w:tc>
          <w:tcPr>
            <w:tcW w:w="5499" w:type="dxa"/>
          </w:tcPr>
          <w:p>
            <w:pPr>
              <w:pStyle w:val="0"/>
            </w:pPr>
            <w:r>
              <w:rPr>
                <w:sz w:val="20"/>
              </w:rPr>
              <w:t xml:space="preserve">Адрес электронной почты (при наличии)</w:t>
            </w:r>
          </w:p>
        </w:tc>
        <w:tc>
          <w:tcPr>
            <w:tcW w:w="3572" w:type="dxa"/>
          </w:tcPr>
          <w:p>
            <w:pPr>
              <w:pStyle w:val="0"/>
            </w:pPr>
            <w:r>
              <w:rPr>
                <w:sz w:val="20"/>
              </w:rPr>
            </w:r>
          </w:p>
        </w:tc>
      </w:tr>
      <w:tr>
        <w:tc>
          <w:tcPr>
            <w:gridSpan w:val="2"/>
            <w:tcW w:w="9071" w:type="dxa"/>
          </w:tcPr>
          <w:p>
            <w:pPr>
              <w:pStyle w:val="0"/>
              <w:jc w:val="center"/>
            </w:pPr>
            <w:r>
              <w:rPr>
                <w:sz w:val="20"/>
              </w:rPr>
              <w:t xml:space="preserve">Сведения о земельном участке</w:t>
            </w:r>
          </w:p>
        </w:tc>
      </w:tr>
      <w:tr>
        <w:tc>
          <w:tcPr>
            <w:tcW w:w="5499" w:type="dxa"/>
          </w:tcPr>
          <w:p>
            <w:pPr>
              <w:pStyle w:val="0"/>
            </w:pPr>
            <w:r>
              <w:rPr>
                <w:sz w:val="20"/>
              </w:rPr>
              <w:t xml:space="preserve">Адрес земельного участка</w:t>
            </w:r>
          </w:p>
        </w:tc>
        <w:tc>
          <w:tcPr>
            <w:tcW w:w="3572" w:type="dxa"/>
          </w:tcPr>
          <w:p>
            <w:pPr>
              <w:pStyle w:val="0"/>
            </w:pPr>
            <w:r>
              <w:rPr>
                <w:sz w:val="20"/>
              </w:rPr>
            </w:r>
          </w:p>
        </w:tc>
      </w:tr>
      <w:tr>
        <w:tc>
          <w:tcPr>
            <w:tcW w:w="5499" w:type="dxa"/>
          </w:tcPr>
          <w:p>
            <w:pPr>
              <w:pStyle w:val="0"/>
            </w:pPr>
            <w:r>
              <w:rPr>
                <w:sz w:val="20"/>
              </w:rPr>
              <w:t xml:space="preserve">Кадастровый номер земельного участка</w:t>
            </w:r>
          </w:p>
        </w:tc>
        <w:tc>
          <w:tcPr>
            <w:tcW w:w="3572" w:type="dxa"/>
          </w:tcPr>
          <w:p>
            <w:pPr>
              <w:pStyle w:val="0"/>
            </w:pPr>
            <w:r>
              <w:rPr>
                <w:sz w:val="20"/>
              </w:rPr>
            </w:r>
          </w:p>
        </w:tc>
      </w:tr>
      <w:tr>
        <w:tc>
          <w:tcPr>
            <w:tcW w:w="5499" w:type="dxa"/>
          </w:tcPr>
          <w:p>
            <w:pPr>
              <w:pStyle w:val="0"/>
            </w:pPr>
            <w:r>
              <w:rPr>
                <w:sz w:val="20"/>
              </w:rPr>
              <w:t xml:space="preserve">Площадь участка</w:t>
            </w:r>
          </w:p>
        </w:tc>
        <w:tc>
          <w:tcPr>
            <w:tcW w:w="3572" w:type="dxa"/>
          </w:tcPr>
          <w:p>
            <w:pPr>
              <w:pStyle w:val="0"/>
            </w:pPr>
            <w:r>
              <w:rPr>
                <w:sz w:val="20"/>
              </w:rPr>
            </w:r>
          </w:p>
        </w:tc>
      </w:tr>
      <w:tr>
        <w:tc>
          <w:tcPr>
            <w:tcW w:w="5499" w:type="dxa"/>
          </w:tcPr>
          <w:p>
            <w:pPr>
              <w:pStyle w:val="0"/>
            </w:pPr>
            <w:r>
              <w:rPr>
                <w:sz w:val="20"/>
              </w:rPr>
              <w:t xml:space="preserve">Вид права</w:t>
            </w:r>
          </w:p>
        </w:tc>
        <w:tc>
          <w:tcPr>
            <w:tcW w:w="3572"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40"/>
        <w:gridCol w:w="1020"/>
        <w:gridCol w:w="340"/>
        <w:gridCol w:w="340"/>
        <w:gridCol w:w="340"/>
        <w:gridCol w:w="3060"/>
        <w:gridCol w:w="2948"/>
        <w:gridCol w:w="680"/>
      </w:tblGrid>
      <w:tr>
        <w:tc>
          <w:tcPr>
            <w:gridSpan w:val="8"/>
            <w:tcW w:w="9068" w:type="dxa"/>
            <w:tcBorders>
              <w:top w:val="nil"/>
              <w:left w:val="nil"/>
              <w:bottom w:val="nil"/>
              <w:right w:val="nil"/>
            </w:tcBorders>
          </w:tcPr>
          <w:p>
            <w:pPr>
              <w:pStyle w:val="0"/>
            </w:pPr>
            <w:r>
              <w:rPr>
                <w:sz w:val="20"/>
              </w:rPr>
              <w:t xml:space="preserve">Прошу прекратить право на земельный участок.</w:t>
            </w:r>
          </w:p>
        </w:tc>
      </w:tr>
      <w:tr>
        <w:tc>
          <w:tcPr>
            <w:gridSpan w:val="8"/>
            <w:tcW w:w="9068" w:type="dxa"/>
            <w:tcBorders>
              <w:top w:val="nil"/>
              <w:left w:val="nil"/>
              <w:bottom w:val="nil"/>
              <w:right w:val="nil"/>
            </w:tcBorders>
          </w:tcPr>
          <w:p>
            <w:pPr>
              <w:pStyle w:val="0"/>
            </w:pPr>
            <w:r>
              <w:rPr>
                <w:sz w:val="20"/>
              </w:rPr>
            </w:r>
          </w:p>
        </w:tc>
      </w:tr>
      <w:tr>
        <w:tc>
          <w:tcPr>
            <w:gridSpan w:val="8"/>
            <w:tcW w:w="9068" w:type="dxa"/>
            <w:tcBorders>
              <w:top w:val="nil"/>
              <w:left w:val="nil"/>
              <w:bottom w:val="nil"/>
              <w:right w:val="nil"/>
            </w:tcBorders>
          </w:tcPr>
          <w:p>
            <w:pPr>
              <w:pStyle w:val="0"/>
            </w:pPr>
            <w:r>
              <w:rPr>
                <w:sz w:val="20"/>
              </w:rPr>
              <w:t xml:space="preserve">Приложения:</w:t>
            </w:r>
          </w:p>
        </w:tc>
      </w:tr>
      <w:tr>
        <w:tc>
          <w:tcPr>
            <w:tcW w:w="340" w:type="dxa"/>
            <w:tcBorders>
              <w:top w:val="nil"/>
              <w:left w:val="nil"/>
              <w:bottom w:val="nil"/>
              <w:right w:val="nil"/>
            </w:tcBorders>
          </w:tcPr>
          <w:p>
            <w:pPr>
              <w:pStyle w:val="0"/>
            </w:pPr>
            <w:r>
              <w:rPr>
                <w:sz w:val="20"/>
              </w:rPr>
              <w:t xml:space="preserve">1.</w:t>
            </w:r>
          </w:p>
        </w:tc>
        <w:tc>
          <w:tcPr>
            <w:gridSpan w:val="7"/>
            <w:tcW w:w="8728" w:type="dxa"/>
            <w:tcBorders>
              <w:top w:val="nil"/>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t xml:space="preserve">2.</w:t>
            </w:r>
          </w:p>
        </w:tc>
        <w:tc>
          <w:tcPr>
            <w:gridSpan w:val="7"/>
            <w:tcW w:w="8728"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t xml:space="preserve">3.</w:t>
            </w:r>
          </w:p>
        </w:tc>
        <w:tc>
          <w:tcPr>
            <w:gridSpan w:val="7"/>
            <w:tcW w:w="8728"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t xml:space="preserve">4.</w:t>
            </w:r>
          </w:p>
        </w:tc>
        <w:tc>
          <w:tcPr>
            <w:gridSpan w:val="7"/>
            <w:tcW w:w="8728" w:type="dxa"/>
            <w:tcBorders>
              <w:top w:val="single" w:sz="4"/>
              <w:left w:val="nil"/>
              <w:bottom w:val="single" w:sz="4"/>
              <w:right w:val="nil"/>
            </w:tcBorders>
          </w:tcPr>
          <w:p>
            <w:pPr>
              <w:pStyle w:val="0"/>
            </w:pPr>
            <w:r>
              <w:rPr>
                <w:sz w:val="20"/>
              </w:rPr>
            </w:r>
          </w:p>
        </w:tc>
      </w:tr>
      <w:tr>
        <w:tc>
          <w:tcPr>
            <w:tcW w:w="340" w:type="dxa"/>
            <w:tcBorders>
              <w:top w:val="nil"/>
              <w:left w:val="nil"/>
              <w:bottom w:val="nil"/>
              <w:right w:val="nil"/>
            </w:tcBorders>
          </w:tcPr>
          <w:p>
            <w:pPr>
              <w:pStyle w:val="0"/>
            </w:pPr>
            <w:r>
              <w:rPr>
                <w:sz w:val="20"/>
              </w:rPr>
              <w:t xml:space="preserve">5.</w:t>
            </w:r>
          </w:p>
        </w:tc>
        <w:tc>
          <w:tcPr>
            <w:gridSpan w:val="7"/>
            <w:tcW w:w="8728" w:type="dxa"/>
            <w:tcBorders>
              <w:top w:val="single" w:sz="4"/>
              <w:left w:val="nil"/>
              <w:bottom w:val="single" w:sz="4"/>
              <w:right w:val="nil"/>
            </w:tcBorders>
          </w:tcPr>
          <w:p>
            <w:pPr>
              <w:pStyle w:val="0"/>
            </w:pPr>
            <w:r>
              <w:rPr>
                <w:sz w:val="20"/>
              </w:rPr>
            </w:r>
          </w:p>
        </w:tc>
      </w:tr>
      <w:tr>
        <w:tc>
          <w:tcPr>
            <w:gridSpan w:val="8"/>
            <w:tcW w:w="9068" w:type="dxa"/>
            <w:tcBorders>
              <w:top w:val="nil"/>
              <w:left w:val="nil"/>
              <w:bottom w:val="nil"/>
              <w:right w:val="nil"/>
            </w:tcBorders>
          </w:tcPr>
          <w:p>
            <w:pPr>
              <w:pStyle w:val="0"/>
            </w:pPr>
            <w:r>
              <w:rPr>
                <w:sz w:val="20"/>
              </w:rPr>
            </w:r>
          </w:p>
        </w:tc>
      </w:tr>
      <w:tr>
        <w:tc>
          <w:tcPr>
            <w:gridSpan w:val="8"/>
            <w:tcW w:w="9068" w:type="dxa"/>
            <w:tcBorders>
              <w:top w:val="nil"/>
              <w:left w:val="nil"/>
              <w:bottom w:val="nil"/>
              <w:right w:val="nil"/>
            </w:tcBorders>
          </w:tcPr>
          <w:p>
            <w:pPr>
              <w:pStyle w:val="0"/>
            </w:pPr>
            <w:r>
              <w:rPr>
                <w:sz w:val="20"/>
              </w:rPr>
              <w:t xml:space="preserve">Способ выдачи документов (нужное отметить):</w:t>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tcW w:w="1020" w:type="dxa"/>
            <w:tcBorders>
              <w:top w:val="nil"/>
              <w:bottom w:val="nil"/>
            </w:tcBorders>
          </w:tcPr>
          <w:p>
            <w:pPr>
              <w:pStyle w:val="0"/>
            </w:pPr>
            <w:r>
              <w:rPr>
                <w:sz w:val="20"/>
              </w:rPr>
              <w:t xml:space="preserve">лично</w:t>
            </w:r>
          </w:p>
        </w:tc>
        <w:tc>
          <w:tcPr>
            <w:tcW w:w="340" w:type="dxa"/>
            <w:tcBorders>
              <w:top w:val="single" w:sz="4"/>
              <w:bottom w:val="single" w:sz="4"/>
            </w:tcBorders>
          </w:tcPr>
          <w:p>
            <w:pPr>
              <w:pStyle w:val="0"/>
            </w:pPr>
            <w:r>
              <w:rPr>
                <w:sz w:val="20"/>
              </w:rPr>
            </w:r>
          </w:p>
        </w:tc>
        <w:tc>
          <w:tcPr>
            <w:gridSpan w:val="5"/>
            <w:tcW w:w="7368" w:type="dxa"/>
            <w:tcBorders>
              <w:top w:val="nil"/>
              <w:bottom w:val="nil"/>
              <w:right w:val="nil"/>
            </w:tcBorders>
          </w:tcPr>
          <w:p>
            <w:pPr>
              <w:pStyle w:val="0"/>
            </w:pPr>
            <w:r>
              <w:rPr>
                <w:sz w:val="20"/>
              </w:rPr>
              <w:t xml:space="preserve">направление посредством почтового отправления с уведомлением</w:t>
            </w:r>
          </w:p>
        </w:tc>
      </w:tr>
      <w:tr>
        <w:tc>
          <w:tcPr>
            <w:gridSpan w:val="8"/>
            <w:tcW w:w="9068"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3"/>
            <w:tcW w:w="1700" w:type="dxa"/>
            <w:tcBorders>
              <w:top w:val="nil"/>
              <w:bottom w:val="nil"/>
            </w:tcBorders>
          </w:tcPr>
          <w:p>
            <w:pPr>
              <w:pStyle w:val="0"/>
            </w:pPr>
            <w:r>
              <w:rPr>
                <w:sz w:val="20"/>
              </w:rPr>
              <w:t xml:space="preserve">в МФЦ &lt;**&gt;</w:t>
            </w:r>
          </w:p>
        </w:tc>
        <w:tc>
          <w:tcPr>
            <w:tcW w:w="340" w:type="dxa"/>
            <w:tcBorders>
              <w:top w:val="single" w:sz="4"/>
              <w:bottom w:val="single" w:sz="4"/>
            </w:tcBorders>
          </w:tcPr>
          <w:p>
            <w:pPr>
              <w:pStyle w:val="0"/>
            </w:pPr>
            <w:r>
              <w:rPr>
                <w:sz w:val="20"/>
              </w:rPr>
            </w:r>
          </w:p>
        </w:tc>
        <w:tc>
          <w:tcPr>
            <w:gridSpan w:val="3"/>
            <w:tcW w:w="6688" w:type="dxa"/>
            <w:tcBorders>
              <w:top w:val="nil"/>
              <w:bottom w:val="nil"/>
              <w:right w:val="nil"/>
            </w:tcBorders>
          </w:tcPr>
          <w:p>
            <w:pPr>
              <w:pStyle w:val="0"/>
            </w:pPr>
            <w:r>
              <w:rPr>
                <w:sz w:val="20"/>
              </w:rPr>
              <w:t xml:space="preserve">в личном кабинете на Региональном портале &lt;*&gt;</w:t>
            </w:r>
          </w:p>
        </w:tc>
      </w:tr>
      <w:tr>
        <w:tc>
          <w:tcPr>
            <w:gridSpan w:val="8"/>
            <w:tcW w:w="9068" w:type="dxa"/>
            <w:tcBorders>
              <w:top w:val="nil"/>
              <w:left w:val="nil"/>
              <w:bottom w:val="nil"/>
              <w:right w:val="nil"/>
            </w:tcBorders>
          </w:tcPr>
          <w:p>
            <w:pPr>
              <w:pStyle w:val="0"/>
            </w:pPr>
            <w:r>
              <w:rPr>
                <w:sz w:val="20"/>
              </w:rPr>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7"/>
            <w:tcW w:w="8728" w:type="dxa"/>
            <w:tcBorders>
              <w:top w:val="nil"/>
              <w:bottom w:val="nil"/>
              <w:right w:val="nil"/>
            </w:tcBorders>
          </w:tcPr>
          <w:p>
            <w:pPr>
              <w:pStyle w:val="0"/>
            </w:pPr>
            <w:r>
              <w:rPr>
                <w:sz w:val="20"/>
              </w:rPr>
              <w:t xml:space="preserve">по электронной почте.</w:t>
            </w:r>
          </w:p>
        </w:tc>
      </w:tr>
      <w:tr>
        <w:tc>
          <w:tcPr>
            <w:gridSpan w:val="8"/>
            <w:tcW w:w="9068"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В случае если заявление подано посредством Регионального портала.</w:t>
            </w:r>
          </w:p>
          <w:p>
            <w:pPr>
              <w:pStyle w:val="0"/>
              <w:ind w:firstLine="283"/>
              <w:jc w:val="both"/>
            </w:pPr>
            <w:r>
              <w:rPr>
                <w:sz w:val="20"/>
              </w:rPr>
              <w:t xml:space="preserve">&lt;**&gt; В случае если заявление подано через МФЦ.</w:t>
            </w:r>
          </w:p>
        </w:tc>
      </w:tr>
      <w:tr>
        <w:tc>
          <w:tcPr>
            <w:gridSpan w:val="8"/>
            <w:tcW w:w="9068" w:type="dxa"/>
            <w:tcBorders>
              <w:top w:val="nil"/>
              <w:left w:val="nil"/>
              <w:bottom w:val="nil"/>
              <w:right w:val="nil"/>
            </w:tcBorders>
          </w:tcPr>
          <w:p>
            <w:pPr>
              <w:pStyle w:val="0"/>
            </w:pPr>
            <w:r>
              <w:rPr>
                <w:sz w:val="20"/>
              </w:rPr>
            </w:r>
          </w:p>
        </w:tc>
      </w:tr>
      <w:tr>
        <w:tc>
          <w:tcPr>
            <w:gridSpan w:val="6"/>
            <w:tcW w:w="5440" w:type="dxa"/>
            <w:tcBorders>
              <w:top w:val="nil"/>
              <w:left w:val="nil"/>
              <w:bottom w:val="nil"/>
              <w:right w:val="nil"/>
            </w:tcBorders>
          </w:tcPr>
          <w:p>
            <w:pPr>
              <w:pStyle w:val="0"/>
            </w:pPr>
            <w:r>
              <w:rPr>
                <w:sz w:val="20"/>
              </w:rPr>
              <w:t xml:space="preserve">"__"_______________ 20__ г.</w:t>
            </w:r>
          </w:p>
        </w:tc>
        <w:tc>
          <w:tcPr>
            <w:tcW w:w="2948" w:type="dxa"/>
            <w:tcBorders>
              <w:top w:val="nil"/>
              <w:left w:val="nil"/>
              <w:bottom w:val="single" w:sz="4"/>
              <w:right w:val="nil"/>
            </w:tcBorders>
          </w:tcPr>
          <w:p>
            <w:pPr>
              <w:pStyle w:val="0"/>
            </w:pPr>
            <w:r>
              <w:rPr>
                <w:sz w:val="20"/>
              </w:rPr>
            </w:r>
          </w:p>
        </w:tc>
        <w:tc>
          <w:tcPr>
            <w:tcW w:w="680" w:type="dxa"/>
            <w:tcBorders>
              <w:top w:val="nil"/>
              <w:left w:val="nil"/>
              <w:bottom w:val="nil"/>
              <w:right w:val="nil"/>
            </w:tcBorders>
          </w:tcPr>
          <w:p>
            <w:pPr>
              <w:pStyle w:val="0"/>
            </w:pPr>
            <w:r>
              <w:rPr>
                <w:sz w:val="20"/>
              </w:rPr>
            </w:r>
          </w:p>
        </w:tc>
      </w:tr>
      <w:tr>
        <w:tc>
          <w:tcPr>
            <w:gridSpan w:val="6"/>
            <w:tcW w:w="54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(подпись)</w:t>
            </w:r>
          </w:p>
        </w:tc>
        <w:tc>
          <w:tcPr>
            <w:tcW w:w="680" w:type="dxa"/>
            <w:tcBorders>
              <w:top w:val="nil"/>
              <w:left w:val="nil"/>
              <w:bottom w:val="nil"/>
              <w:right w:val="nil"/>
            </w:tcBorders>
          </w:tcPr>
          <w:p>
            <w:pPr>
              <w:pStyle w:val="0"/>
            </w:pPr>
            <w:r>
              <w:rPr>
                <w:sz w:val="20"/>
              </w:rPr>
            </w:r>
          </w:p>
        </w:tc>
      </w:tr>
      <w:tr>
        <w:tc>
          <w:tcPr>
            <w:gridSpan w:val="6"/>
            <w:tcW w:w="5440" w:type="dxa"/>
            <w:tcBorders>
              <w:top w:val="nil"/>
              <w:left w:val="nil"/>
              <w:bottom w:val="nil"/>
              <w:right w:val="nil"/>
            </w:tcBorders>
          </w:tcPr>
          <w:p>
            <w:pPr>
              <w:pStyle w:val="0"/>
            </w:pPr>
            <w:r>
              <w:rPr>
                <w:sz w:val="20"/>
              </w:rPr>
            </w:r>
          </w:p>
        </w:tc>
        <w:tc>
          <w:tcPr>
            <w:gridSpan w:val="2"/>
            <w:tcW w:w="3628" w:type="dxa"/>
            <w:tcBorders>
              <w:top w:val="nil"/>
              <w:left w:val="nil"/>
              <w:bottom w:val="nil"/>
              <w:right w:val="nil"/>
            </w:tcBorders>
          </w:tcPr>
          <w:p>
            <w:pPr>
              <w:pStyle w:val="0"/>
            </w:pPr>
            <w:r>
              <w:rPr>
                <w:sz w:val="20"/>
              </w:rPr>
              <w:t xml:space="preserve">М.П.</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20.12.2021 N 1954</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20.12.2021 N 1954</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3A4310FBFC0FF0C52C2695F74923E588411D684DA2BE71E6F2D1E9A90BCB7BCB2A391AC8BCBD794DBB02967A28361B063B0C2EF3A5344C2742E32CFBTFN" TargetMode = "External"/>
	<Relationship Id="rId8" Type="http://schemas.openxmlformats.org/officeDocument/2006/relationships/hyperlink" Target="consultantplus://offline/ref=4B3A4310FBFC0FF0C52C2695F74923E588411D684DA1BB71E5F6D1E9A90BCB7BCB2A391AC8BCBD794DBB02977E28361B063B0C2EF3A5344C2742E32CFBTFN" TargetMode = "External"/>
	<Relationship Id="rId9" Type="http://schemas.openxmlformats.org/officeDocument/2006/relationships/hyperlink" Target="consultantplus://offline/ref=4B3A4310FBFC0FF0C52C3898E1257DE1894F416249A7B223BEA7D7BEF65BCD2E8B6A3F4F8BF8B07149B056C63C766F484670002CE9B9354EF3TAN" TargetMode = "External"/>
	<Relationship Id="rId10" Type="http://schemas.openxmlformats.org/officeDocument/2006/relationships/hyperlink" Target="consultantplus://offline/ref=4B3A4310FBFC0FF0C52C3898E1257DE1894F416249A7B223BEA7D7BEF65BCD2E8B6A3F4F89FEB17319EA46C275216654436E1F2EF7B9F3T6N" TargetMode = "External"/>
	<Relationship Id="rId11" Type="http://schemas.openxmlformats.org/officeDocument/2006/relationships/hyperlink" Target="consultantplus://offline/ref=4B3A4310FBFC0FF0C52C3898E1257DE1894F416249A7B223BEA7D7BEF65BCD2E8B6A3F4F8AF8B87319EA46C275216654436E1F2EF7B9F3T6N" TargetMode = "External"/>
	<Relationship Id="rId12" Type="http://schemas.openxmlformats.org/officeDocument/2006/relationships/hyperlink" Target="consultantplus://offline/ref=4B3A4310FBFC0FF0C52C3898E1257DE1894F40664EA0B223BEA7D7BEF65BCD2E8B6A3F4F8BF8B07149B056C63C766F484670002CE9B9354EF3TAN" TargetMode = "External"/>
	<Relationship Id="rId13" Type="http://schemas.openxmlformats.org/officeDocument/2006/relationships/hyperlink" Target="consultantplus://offline/ref=4B3A4310FBFC0FF0C52C2695F74923E588411D684DA2B17DE5F4D1E9A90BCB7BCB2A391ADABCE5754FBF1C96783D604A40F6TDN" TargetMode = "External"/>
	<Relationship Id="rId14" Type="http://schemas.openxmlformats.org/officeDocument/2006/relationships/hyperlink" Target="consultantplus://offline/ref=4B3A4310FBFC0FF0C52C2695F74923E588411D684DA2B17DE5F5D1E9A90BCB7BCB2A391ADABCE5754FBF1C96783D604A40F6TDN" TargetMode = "External"/>
	<Relationship Id="rId15" Type="http://schemas.openxmlformats.org/officeDocument/2006/relationships/hyperlink" Target="consultantplus://offline/ref=4B3A4310FBFC0FF0C52C2695F74923E588411D684EA4B171E6F6D1E9A90BCB7BCB2A391AC8BCBD794DBB03927828361B063B0C2EF3A5344C2742E32CFBTFN" TargetMode = "External"/>
	<Relationship Id="rId16" Type="http://schemas.openxmlformats.org/officeDocument/2006/relationships/hyperlink" Target="consultantplus://offline/ref=4B3A4310FBFC0FF0C52C2695F74923E588411D684DA3B075E3F7D1E9A90BCB7BCB2A391AC8BCBD794DBC06957C28361B063B0C2EF3A5344C2742E32CFBTFN" TargetMode = "External"/>
	<Relationship Id="rId17" Type="http://schemas.openxmlformats.org/officeDocument/2006/relationships/hyperlink" Target="consultantplus://offline/ref=4B3A4310FBFC0FF0C52C2695F74923E588411D684DA3B075E3F7D1E9A90BCB7BCB2A391AC8BCBD794DBD0B967028361B063B0C2EF3A5344C2742E32CFBTFN" TargetMode = "External"/>
	<Relationship Id="rId18" Type="http://schemas.openxmlformats.org/officeDocument/2006/relationships/hyperlink" Target="consultantplus://offline/ref=4B3A4310FBFC0FF0C52C2695F74923E588411D684DA3B87CE7F6D1E9A90BCB7BCB2A391AC8BCBD794DBB00947C28361B063B0C2EF3A5344C2742E32CFBTFN" TargetMode = "External"/>
	<Relationship Id="rId19" Type="http://schemas.openxmlformats.org/officeDocument/2006/relationships/header" Target="header2.xml"/>
	<Relationship Id="rId20" Type="http://schemas.openxmlformats.org/officeDocument/2006/relationships/footer" Target="footer2.xml"/>
	<Relationship Id="rId21" Type="http://schemas.openxmlformats.org/officeDocument/2006/relationships/hyperlink" Target="consultantplus://offline/ref=4B3A4310FBFC0FF0C52C2695F74923E588411D684DA2BE71E6F2D1E9A90BCB7BCB2A391AC8BCBD794DBB02967A28361B063B0C2EF3A5344C2742E32CFBTFN" TargetMode = "External"/>
	<Relationship Id="rId22" Type="http://schemas.openxmlformats.org/officeDocument/2006/relationships/hyperlink" Target="consultantplus://offline/ref=4B3A4310FBFC0FF0C52C2695F74923E588411D684DA1BB71E5F6D1E9A90BCB7BCB2A391AC8BCBD794DBB02977E28361B063B0C2EF3A5344C2742E32CFBTFN" TargetMode = "External"/>
	<Relationship Id="rId23" Type="http://schemas.openxmlformats.org/officeDocument/2006/relationships/hyperlink" Target="consultantplus://offline/ref=4B3A4310FBFC0FF0C52C2695F74923E588411D684DA1BB71E5F6D1E9A90BCB7BCB2A391AC8BCBD794DBB02977E28361B063B0C2EF3A5344C2742E32CFBTFN" TargetMode = "External"/>
	<Relationship Id="rId24" Type="http://schemas.openxmlformats.org/officeDocument/2006/relationships/hyperlink" Target="consultantplus://offline/ref=4B3A4310FBFC0FF0C52C2695F74923E588411D684DA2BE71E6F2D1E9A90BCB7BCB2A391AC8BCBD794DBB02967A28361B063B0C2EF3A5344C2742E32CFBTFN" TargetMode = "External"/>
	<Relationship Id="rId25" Type="http://schemas.openxmlformats.org/officeDocument/2006/relationships/hyperlink" Target="consultantplus://offline/ref=4B3A4310FBFC0FF0C52C3898E1257DE1894841654FA4B223BEA7D7BEF65BCD2E996A674389FCAE794DA500977AF2T0N" TargetMode = "External"/>
	<Relationship Id="rId26" Type="http://schemas.openxmlformats.org/officeDocument/2006/relationships/hyperlink" Target="consultantplus://offline/ref=4B3A4310FBFC0FF0C52C3898E1257DE18F42446044F5E521EFF2D9BBFE0B973E9D23304A95F9B0664FBB00F9T4N" TargetMode = "External"/>
	<Relationship Id="rId27" Type="http://schemas.openxmlformats.org/officeDocument/2006/relationships/hyperlink" Target="consultantplus://offline/ref=4B3A4310FBFC0FF0C52C3898E1257DE1894F416249A7B223BEA7D7BEF65BCD2E996A674389FCAE794DA500977AF2T0N" TargetMode = "External"/>
	<Relationship Id="rId28" Type="http://schemas.openxmlformats.org/officeDocument/2006/relationships/hyperlink" Target="consultantplus://offline/ref=4B3A4310FBFC0FF0C52C3898E1257DE1894F416246A6B223BEA7D7BEF65BCD2E996A674389FCAE794DA500977AF2T0N" TargetMode = "External"/>
	<Relationship Id="rId29" Type="http://schemas.openxmlformats.org/officeDocument/2006/relationships/hyperlink" Target="consultantplus://offline/ref=4B3A4310FBFC0FF0C52C3898E1257DE1894F47674DAAB223BEA7D7BEF65BCD2E8B6A3F4F8BF9B37D4BB056C63C766F484670002CE9B9354EF3TAN" TargetMode = "External"/>
	<Relationship Id="rId30" Type="http://schemas.openxmlformats.org/officeDocument/2006/relationships/hyperlink" Target="consultantplus://offline/ref=4B3A4310FBFC0FF0C52C3898E1257DE1894F40664EA0B223BEA7D7BEF65BCD2E8B6A3F4F8BF8B07149B056C63C766F484670002CE9B9354EF3TAN" TargetMode = "External"/>
	<Relationship Id="rId31" Type="http://schemas.openxmlformats.org/officeDocument/2006/relationships/hyperlink" Target="consultantplus://offline/ref=4B3A4310FBFC0FF0C52C3898E1257DE1894841654FA4B223BEA7D7BEF65BCD2E996A674389FCAE794DA500977AF2T0N" TargetMode = "External"/>
	<Relationship Id="rId32" Type="http://schemas.openxmlformats.org/officeDocument/2006/relationships/hyperlink" Target="consultantplus://offline/ref=4B3A4310FBFC0FF0C52C3898E1257DE189494A674FA2B223BEA7D7BEF65BCD2E996A674389FCAE794DA500977AF2T0N" TargetMode = "External"/>
	<Relationship Id="rId33" Type="http://schemas.openxmlformats.org/officeDocument/2006/relationships/hyperlink" Target="consultantplus://offline/ref=4B3A4310FBFC0FF0C52C3898E1257DE1894F47664FA6B223BEA7D7BEF65BCD2E996A674389FCAE794DA500977AF2T0N" TargetMode = "External"/>
	<Relationship Id="rId34" Type="http://schemas.openxmlformats.org/officeDocument/2006/relationships/hyperlink" Target="consultantplus://offline/ref=4B3A4310FBFC0FF0C52C3898E1257DE1894E456549ABB223BEA7D7BEF65BCD2E996A674389FCAE794DA500977AF2T0N" TargetMode = "External"/>
	<Relationship Id="rId35" Type="http://schemas.openxmlformats.org/officeDocument/2006/relationships/hyperlink" Target="consultantplus://offline/ref=4B3A4310FBFC0FF0C52C2695F74923E588411D684DA3B075E3F7D1E9A90BCB7BCB2A391AC8BCBD794DBD0B967028361B063B0C2EF3A5344C2742E32CFBTFN" TargetMode = "External"/>
	<Relationship Id="rId36" Type="http://schemas.openxmlformats.org/officeDocument/2006/relationships/hyperlink" Target="consultantplus://offline/ref=4B3A4310FBFC0FF0C52C2695F74923E588411D684DA2B17DE5F5D1E9A90BCB7BCB2A391ADABCE5754FBF1C96783D604A40F6TDN" TargetMode = "External"/>
	<Relationship Id="rId37" Type="http://schemas.openxmlformats.org/officeDocument/2006/relationships/hyperlink" Target="consultantplus://offline/ref=4B3A4310FBFC0FF0C52C2695F74923E588411D684DA2B17DE5F4D1E9A90BCB7BCB2A391ADABCE5754FBF1C96783D604A40F6TDN" TargetMode = "External"/>
	<Relationship Id="rId38" Type="http://schemas.openxmlformats.org/officeDocument/2006/relationships/hyperlink" Target="consultantplus://offline/ref=4B3A4310FBFC0FF0C52C3898E1257DE1894F416249A7B223BEA7D7BEF65BCD2E8B6A3F4A88F9BB2C1CFF579A7A277C4B4270032CF5FBT8N" TargetMode = "External"/>
	<Relationship Id="rId39" Type="http://schemas.openxmlformats.org/officeDocument/2006/relationships/hyperlink" Target="consultantplus://offline/ref=4B3A4310FBFC0FF0C52C3898E1257DE1894F40664EA0B223BEA7D7BEF65BCD2E8B6A3F4C82F8BB2C1CFF579A7A277C4B4270032CF5FBT8N" TargetMode = "External"/>
	<Relationship Id="rId40" Type="http://schemas.openxmlformats.org/officeDocument/2006/relationships/hyperlink" Target="consultantplus://offline/ref=4B3A4310FBFC0FF0C52C3898E1257DE18C42406146A5B223BEA7D7BEF65BCD2E8B6A3F4F8BF8B0794FB056C63C766F484670002CE9B9354EF3TAN" TargetMode = "External"/>
	<Relationship Id="rId41" Type="http://schemas.openxmlformats.org/officeDocument/2006/relationships/hyperlink" Target="consultantplus://offline/ref=4B3A4310FBFC0FF0C52C3898E1257DE18C42406146A5B223BEA7D7BEF65BCD2E8B6A3F4F8BF8B07B45B056C63C766F484670002CE9B9354EF3TAN" TargetMode = "External"/>
	<Relationship Id="rId42" Type="http://schemas.openxmlformats.org/officeDocument/2006/relationships/hyperlink" Target="consultantplus://offline/ref=4B3A4310FBFC0FF0C52C3898E1257DE1894B45634BA5B223BEA7D7BEF65BCD2E8B6A3F4F8BF8B0794EB056C63C766F484670002CE9B9354EF3TAN" TargetMode = "External"/>
	<Relationship Id="rId43" Type="http://schemas.openxmlformats.org/officeDocument/2006/relationships/hyperlink" Target="consultantplus://offline/ref=4B3A4310FBFC0FF0C52C3898E1257DE1894940664FA7B223BEA7D7BEF65BCD2E8B6A3F4F8BF9B1704EB056C63C766F484670002CE9B9354EF3TAN" TargetMode = "External"/>
	<Relationship Id="rId44" Type="http://schemas.openxmlformats.org/officeDocument/2006/relationships/hyperlink" Target="consultantplus://offline/ref=4B3A4310FBFC0FF0C52C3898E1257DE1894E476D49A0B223BEA7D7BEF65BCD2E996A674389FCAE794DA500977AF2T0N" TargetMode = "External"/>
	<Relationship Id="rId45" Type="http://schemas.openxmlformats.org/officeDocument/2006/relationships/hyperlink" Target="consultantplus://offline/ref=4B3A4310FBFC0FF0C52C3898E1257DE18E4B476D4CA5B223BEA7D7BEF65BCD2E996A674389FCAE794DA500977AF2T0N" TargetMode = "External"/>
	<Relationship Id="rId46" Type="http://schemas.openxmlformats.org/officeDocument/2006/relationships/hyperlink" Target="consultantplus://offline/ref=4B3A4310FBFC0FF0C52C2695F74923E588411D684DA2BF77E7F0D1E9A90BCB7BCB2A391ADABCE5754FBF1C96783D604A40F6T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20.12.2021 N 1954
(ред. от 14.07.2023)
"Об утверждении административного регламента по предоставлению муниципальной услуги по 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и о внесении изменения в постановление Администрации города Вологды от 30 декабря 2016 года N 1617"</dc:title>
  <dcterms:created xsi:type="dcterms:W3CDTF">2023-10-24T13:19:03Z</dcterms:created>
</cp:coreProperties>
</file>